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C357E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Statement introducing the researcher(s) and that the study involves research:</w:t>
      </w:r>
    </w:p>
    <w:p w14:paraId="7AECD951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1, Section A: Application Information, Paragraph 1</w:t>
      </w:r>
    </w:p>
    <w:p w14:paraId="6B5A019E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The study introduces the researchers and mentions the research topic.</w:t>
      </w:r>
    </w:p>
    <w:p w14:paraId="76FD0640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Statement describing the purpose of the study:</w:t>
      </w:r>
    </w:p>
    <w:p w14:paraId="63E5CF31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2, Section B: Study Protocol Synopsis, Paragraph 1</w:t>
      </w:r>
    </w:p>
    <w:p w14:paraId="024A7414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The study’s purpose is clearly described, including the goal of improving community extension services through a web-based platform.</w:t>
      </w:r>
    </w:p>
    <w:p w14:paraId="7D53DE9B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Study-related treatments and probability for random assignment:</w:t>
      </w:r>
    </w:p>
    <w:p w14:paraId="158FDB1F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No</w:t>
      </w:r>
      <w:r w:rsidRPr="000478BF">
        <w:t xml:space="preserve"> – Not applicable in this study.</w:t>
      </w:r>
    </w:p>
    <w:p w14:paraId="4AD5F393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The study does not involve treatments or random assignment.</w:t>
      </w:r>
    </w:p>
    <w:p w14:paraId="0CEE3AE7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Study procedures including all invasive procedures:</w:t>
      </w:r>
    </w:p>
    <w:p w14:paraId="2A5663FF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4, Section B: Study Design, Paragraph 1</w:t>
      </w:r>
    </w:p>
    <w:p w14:paraId="4F46EA54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Participants will engage with the platform and complete a survey, with no invasive procedures involved.</w:t>
      </w:r>
    </w:p>
    <w:p w14:paraId="6E98774C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Responsibilities of the participant:</w:t>
      </w:r>
    </w:p>
    <w:p w14:paraId="6A259631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4, Section B: Study Design, Paragraph 2</w:t>
      </w:r>
    </w:p>
    <w:p w14:paraId="3EFFD21B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Participants will engage with the platform for registration and reporting tasks and will complete a survey.</w:t>
      </w:r>
    </w:p>
    <w:p w14:paraId="772C3CC2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Expected duration and manner of participation in the study:</w:t>
      </w:r>
    </w:p>
    <w:p w14:paraId="7723CE57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3, Section B: Study Design, Paragraph 1</w:t>
      </w:r>
    </w:p>
    <w:p w14:paraId="33AFE727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Interaction with the platform will take 15-30 minutes, and the survey will take 10-15 minutes.</w:t>
      </w:r>
    </w:p>
    <w:p w14:paraId="7E438D45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Approximate number of participants in the study:</w:t>
      </w:r>
    </w:p>
    <w:p w14:paraId="008F8290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4, Section B: Study Design, Paragraph 3</w:t>
      </w:r>
    </w:p>
    <w:p w14:paraId="1C907068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At least 10% of students from participating departments will be invited to participate.</w:t>
      </w:r>
    </w:p>
    <w:p w14:paraId="6C35120F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Study aspects that are experimental:</w:t>
      </w:r>
    </w:p>
    <w:p w14:paraId="4B02AB58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4, Section B: Study Design, Paragraph 4</w:t>
      </w:r>
    </w:p>
    <w:p w14:paraId="407421C4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The experimental aspect is the use of the </w:t>
      </w:r>
      <w:proofErr w:type="spellStart"/>
      <w:r w:rsidRPr="000478BF">
        <w:t>CommunityLink</w:t>
      </w:r>
      <w:proofErr w:type="spellEnd"/>
      <w:r w:rsidRPr="000478BF">
        <w:t xml:space="preserve"> platform for community extension activities.</w:t>
      </w:r>
    </w:p>
    <w:p w14:paraId="42402B07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Foreseeable risks to participants:</w:t>
      </w:r>
    </w:p>
    <w:p w14:paraId="32BF88AE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lastRenderedPageBreak/>
        <w:t>Yes</w:t>
      </w:r>
      <w:r w:rsidRPr="000478BF">
        <w:t xml:space="preserve"> – Page 5, Section B: Study Design, Paragraph 1</w:t>
      </w:r>
    </w:p>
    <w:p w14:paraId="78EB4C94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Risks are minimal, such as privacy concerns and inconvenience due to time commitments.</w:t>
      </w:r>
    </w:p>
    <w:p w14:paraId="75E5D401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Risks from allowable use of placebo (as applicable):</w:t>
      </w:r>
    </w:p>
    <w:p w14:paraId="0D032F84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No</w:t>
      </w:r>
      <w:r w:rsidRPr="000478BF">
        <w:t xml:space="preserve"> – Not applicable as no placebo is used.</w:t>
      </w:r>
    </w:p>
    <w:p w14:paraId="4E4285E3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This study does not use a placebo.</w:t>
      </w:r>
    </w:p>
    <w:p w14:paraId="69173260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Reasonably expected benefits or absence of direct benefit:</w:t>
      </w:r>
    </w:p>
    <w:p w14:paraId="39F46FB5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5, Section B: Study Design, Paragraph 2</w:t>
      </w:r>
    </w:p>
    <w:p w14:paraId="716E3CA1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Participants will benefit from better tracking and documentation of their community service.</w:t>
      </w:r>
    </w:p>
    <w:p w14:paraId="2D18F070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Expected benefits to the community or society:</w:t>
      </w:r>
    </w:p>
    <w:p w14:paraId="30CCCD95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5, Section B: Study Design, Paragraph 3</w:t>
      </w:r>
    </w:p>
    <w:p w14:paraId="3BF79F40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The broader community benefits from more organized volunteer engagement.</w:t>
      </w:r>
    </w:p>
    <w:p w14:paraId="25A53717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Description of post-study access to the study product:</w:t>
      </w:r>
    </w:p>
    <w:p w14:paraId="4E3F22DB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5, Section B: Study Design, Paragraph 4</w:t>
      </w:r>
    </w:p>
    <w:p w14:paraId="6728F98F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The platform will continue to be used after the study concludes.</w:t>
      </w:r>
    </w:p>
    <w:p w14:paraId="29FAC029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Alternative procedures or treatment available to participant:</w:t>
      </w:r>
    </w:p>
    <w:p w14:paraId="13AABD3D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Not applicable</w:t>
      </w:r>
      <w:r w:rsidRPr="000478BF">
        <w:t xml:space="preserve"> – There are no alternative procedures.</w:t>
      </w:r>
    </w:p>
    <w:p w14:paraId="182A868F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This section does not apply to the study.</w:t>
      </w:r>
    </w:p>
    <w:p w14:paraId="3278D4AC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Anticipated payment or compensation:</w:t>
      </w:r>
    </w:p>
    <w:p w14:paraId="60839137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No</w:t>
      </w:r>
      <w:r w:rsidRPr="000478BF">
        <w:t xml:space="preserve"> – Page 5, Section B: Study Design, Paragraph 5</w:t>
      </w:r>
    </w:p>
    <w:p w14:paraId="3266D6CE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No payment or compensation is provided for participation.</w:t>
      </w:r>
    </w:p>
    <w:p w14:paraId="2E4B5EED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Compensation for study-related injuries:</w:t>
      </w:r>
    </w:p>
    <w:p w14:paraId="1C856585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No</w:t>
      </w:r>
      <w:r w:rsidRPr="000478BF">
        <w:t xml:space="preserve"> – Page 5, Section B: Study Design, Paragraph 6</w:t>
      </w:r>
    </w:p>
    <w:p w14:paraId="4494545E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No compensation is provided for study-related injuries.</w:t>
      </w:r>
    </w:p>
    <w:p w14:paraId="097564B5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Anticipated expenses to the participant:</w:t>
      </w:r>
    </w:p>
    <w:p w14:paraId="77A51CF6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No</w:t>
      </w:r>
      <w:r w:rsidRPr="000478BF">
        <w:t xml:space="preserve"> – Page 5, Section B: Study Design, Paragraph 7</w:t>
      </w:r>
    </w:p>
    <w:p w14:paraId="145505D3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There are no anticipated expenses for participants.</w:t>
      </w:r>
    </w:p>
    <w:p w14:paraId="1CCD3E41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Statement that participation is voluntary and may be withdrawn:</w:t>
      </w:r>
    </w:p>
    <w:p w14:paraId="08DA0BD9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lastRenderedPageBreak/>
        <w:t>Yes</w:t>
      </w:r>
      <w:r w:rsidRPr="000478BF">
        <w:t xml:space="preserve"> – Page 5, Section B: Study Design, Paragraph 8</w:t>
      </w:r>
    </w:p>
    <w:p w14:paraId="30053B35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Participation is voluntary, and participants can withdraw at any time without penalty.</w:t>
      </w:r>
    </w:p>
    <w:p w14:paraId="53BD1CA5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For research involving children or adolescents:</w:t>
      </w:r>
    </w:p>
    <w:p w14:paraId="1900CF38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Not applicable</w:t>
      </w:r>
      <w:r w:rsidRPr="000478BF">
        <w:t xml:space="preserve"> – The study does not involve children or adolescents.</w:t>
      </w:r>
    </w:p>
    <w:p w14:paraId="4F1A52B0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Statement on direct access to participant's medical records:</w:t>
      </w:r>
    </w:p>
    <w:p w14:paraId="3FE2FE62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Not applicable</w:t>
      </w:r>
      <w:r w:rsidRPr="000478BF">
        <w:t xml:space="preserve"> – Not relevant to this study.</w:t>
      </w:r>
    </w:p>
    <w:p w14:paraId="0245C448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Statement that records identifying the participant will be kept confidential:</w:t>
      </w:r>
    </w:p>
    <w:p w14:paraId="4987A6FE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5, Section B: Study Design, Paragraph 9</w:t>
      </w:r>
    </w:p>
    <w:p w14:paraId="741E37E3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Participants’ records will be kept confidential.</w:t>
      </w:r>
    </w:p>
    <w:p w14:paraId="4652F999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Description of the data protection plan:</w:t>
      </w:r>
    </w:p>
    <w:p w14:paraId="783E3F6A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6, Section B: Study Design, Paragraph 1</w:t>
      </w:r>
    </w:p>
    <w:p w14:paraId="0713C7BD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Data will be encrypted, stored securely, and accessible only to the research team.</w:t>
      </w:r>
    </w:p>
    <w:p w14:paraId="1CE24573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Description of the use of genetic tests:</w:t>
      </w:r>
    </w:p>
    <w:p w14:paraId="2F8F1190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Not applicable</w:t>
      </w:r>
      <w:r w:rsidRPr="000478BF">
        <w:t xml:space="preserve"> – No genetic tests are involved.</w:t>
      </w:r>
    </w:p>
    <w:p w14:paraId="1EA1916A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Possible direct or secondary use of participant’s medical records:</w:t>
      </w:r>
    </w:p>
    <w:p w14:paraId="375449A7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Not applicable</w:t>
      </w:r>
      <w:r w:rsidRPr="000478BF">
        <w:t xml:space="preserve"> – This does not apply to this study.</w:t>
      </w:r>
    </w:p>
    <w:p w14:paraId="379A63B6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Plans to destroy collected biological specimens:</w:t>
      </w:r>
    </w:p>
    <w:p w14:paraId="38F00101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Not applicable</w:t>
      </w:r>
      <w:r w:rsidRPr="000478BF">
        <w:t xml:space="preserve"> – No biological specimens are collected.</w:t>
      </w:r>
    </w:p>
    <w:p w14:paraId="6A634C91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Plans to develop commercial products from biological specimens:</w:t>
      </w:r>
    </w:p>
    <w:p w14:paraId="7E7D4245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Not applicable</w:t>
      </w:r>
      <w:r w:rsidRPr="000478BF">
        <w:t xml:space="preserve"> – This is not relevant to the study.</w:t>
      </w:r>
    </w:p>
    <w:p w14:paraId="26644AFA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Statement on post-study information availability:</w:t>
      </w:r>
    </w:p>
    <w:p w14:paraId="709D20AD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6, Section B: Study Design, Paragraph 2</w:t>
      </w:r>
    </w:p>
    <w:p w14:paraId="56FB6E1B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Relevant information will be shared with participants.</w:t>
      </w:r>
    </w:p>
    <w:p w14:paraId="06BBD2F6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Statement that consent is time-bound:</w:t>
      </w:r>
    </w:p>
    <w:p w14:paraId="6E98CFFA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6, Section B: Study Design, Paragraph 3</w:t>
      </w:r>
    </w:p>
    <w:p w14:paraId="776F94E4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Consent is valid for the duration of the study.</w:t>
      </w:r>
    </w:p>
    <w:p w14:paraId="0EAFDE66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Measures against data breach:</w:t>
      </w:r>
    </w:p>
    <w:p w14:paraId="0BF3B45E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lastRenderedPageBreak/>
        <w:t>Yes</w:t>
      </w:r>
      <w:r w:rsidRPr="000478BF">
        <w:t xml:space="preserve"> – Page 6, Section B: Study Design, Paragraph 4</w:t>
      </w:r>
    </w:p>
    <w:p w14:paraId="1F5B2E4D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Data protection measures include encryption, two-factor authentication, and strong passwords.</w:t>
      </w:r>
    </w:p>
    <w:p w14:paraId="080C03A3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Statement describing the data subject’s right to be informed:</w:t>
      </w:r>
    </w:p>
    <w:p w14:paraId="4FF43884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6, Section B: Study Design, Paragraph 5</w:t>
      </w:r>
    </w:p>
    <w:p w14:paraId="6728F18C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Participants will be informed about data collection and processing methods.</w:t>
      </w:r>
    </w:p>
    <w:p w14:paraId="28C780A5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Statement describing the right to object to data processing:</w:t>
      </w:r>
    </w:p>
    <w:p w14:paraId="089F0C4B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6, Section B: Study Design, Paragraph 6</w:t>
      </w:r>
    </w:p>
    <w:p w14:paraId="58A73E42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Participants can withdraw consent at any time.</w:t>
      </w:r>
    </w:p>
    <w:p w14:paraId="230C5FD7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Statement describing access to participant's records:</w:t>
      </w:r>
    </w:p>
    <w:p w14:paraId="2CC58A3B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6, Section B: Study Design, Paragraph 7</w:t>
      </w:r>
    </w:p>
    <w:p w14:paraId="3154CC15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Participants have the right to access their data upon request.</w:t>
      </w:r>
    </w:p>
    <w:p w14:paraId="1D260285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Compensation or insurance for study-related injury:</w:t>
      </w:r>
    </w:p>
    <w:p w14:paraId="563B6754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No</w:t>
      </w:r>
      <w:r w:rsidRPr="000478BF">
        <w:t xml:space="preserve"> – Page 5, Section B: Study Design, Paragraph 8</w:t>
      </w:r>
    </w:p>
    <w:p w14:paraId="3FF7F881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No compensation is provided for study-related injuries.</w:t>
      </w:r>
    </w:p>
    <w:p w14:paraId="2705316D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Statement describing access to study results:</w:t>
      </w:r>
    </w:p>
    <w:p w14:paraId="0D45DDCB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6, Section B: Study Design, Paragraph 8</w:t>
      </w:r>
    </w:p>
    <w:p w14:paraId="4C5A7B41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Participants will have access to the study results.</w:t>
      </w:r>
    </w:p>
    <w:p w14:paraId="46374388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Foreseeable reasons for study termination:</w:t>
      </w:r>
    </w:p>
    <w:p w14:paraId="512686DB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5, Section B: Study Design, Paragraph 9</w:t>
      </w:r>
    </w:p>
    <w:p w14:paraId="4E106037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Participation may be terminated if the participant withdraws or the study site disallows platform use.</w:t>
      </w:r>
    </w:p>
    <w:p w14:paraId="654803F5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Sponsor and institutional affiliation of the investigators:</w:t>
      </w:r>
    </w:p>
    <w:p w14:paraId="16CCB003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6, Section B: Study Design, Paragraph 10</w:t>
      </w:r>
    </w:p>
    <w:p w14:paraId="45892D0B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The University of the Assumption is the sponsor.</w:t>
      </w:r>
    </w:p>
    <w:p w14:paraId="3A91E38D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Statement on the investigator’s role:</w:t>
      </w:r>
    </w:p>
    <w:p w14:paraId="09D368ED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6, Section B: Study Design, Paragraph 11</w:t>
      </w:r>
    </w:p>
    <w:p w14:paraId="0E6CF144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The investigators are conducting the research.</w:t>
      </w:r>
    </w:p>
    <w:p w14:paraId="047074C8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Contact persons for further information:</w:t>
      </w:r>
    </w:p>
    <w:p w14:paraId="693CBD2C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lastRenderedPageBreak/>
        <w:t>Yes</w:t>
      </w:r>
      <w:r w:rsidRPr="000478BF">
        <w:t xml:space="preserve"> – Page 6, Section B: Study Design, Paragraph 12</w:t>
      </w:r>
    </w:p>
    <w:p w14:paraId="5A323ABE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Contact details for the research team are provided.</w:t>
      </w:r>
    </w:p>
    <w:p w14:paraId="54046B3B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Statement that the UAREB has approved the study:</w:t>
      </w:r>
    </w:p>
    <w:p w14:paraId="489298F7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6, Section B: Study Design, Paragraph 13</w:t>
      </w:r>
    </w:p>
    <w:p w14:paraId="3B03101A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UAREB approval and contact details are provided.</w:t>
      </w:r>
    </w:p>
    <w:p w14:paraId="7F8D7D26" w14:textId="77777777" w:rsidR="000478BF" w:rsidRPr="000478BF" w:rsidRDefault="000478BF" w:rsidP="000478BF">
      <w:pPr>
        <w:numPr>
          <w:ilvl w:val="0"/>
          <w:numId w:val="1"/>
        </w:numPr>
      </w:pPr>
      <w:r w:rsidRPr="000478BF">
        <w:rPr>
          <w:b/>
          <w:bCs/>
        </w:rPr>
        <w:t>Comprehensibility of language used:</w:t>
      </w:r>
    </w:p>
    <w:p w14:paraId="7207147C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Yes</w:t>
      </w:r>
      <w:r w:rsidRPr="000478BF">
        <w:t xml:space="preserve"> – Page 6, Section B: Study Design, Paragraph 14</w:t>
      </w:r>
    </w:p>
    <w:p w14:paraId="14A9D8A7" w14:textId="77777777" w:rsidR="000478BF" w:rsidRPr="000478BF" w:rsidRDefault="000478BF" w:rsidP="000478BF">
      <w:pPr>
        <w:numPr>
          <w:ilvl w:val="1"/>
          <w:numId w:val="1"/>
        </w:numPr>
      </w:pPr>
      <w:r w:rsidRPr="000478BF">
        <w:rPr>
          <w:b/>
          <w:bCs/>
        </w:rPr>
        <w:t>Details:</w:t>
      </w:r>
      <w:r w:rsidRPr="000478BF">
        <w:t xml:space="preserve"> Clear and accessible language is used throughout.</w:t>
      </w:r>
    </w:p>
    <w:p w14:paraId="6964C99C" w14:textId="77777777" w:rsidR="00C0682F" w:rsidRDefault="00C0682F"/>
    <w:sectPr w:rsidR="00C06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F1D96"/>
    <w:multiLevelType w:val="multilevel"/>
    <w:tmpl w:val="5B54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13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BF"/>
    <w:rsid w:val="000478BF"/>
    <w:rsid w:val="00925161"/>
    <w:rsid w:val="00C0682F"/>
    <w:rsid w:val="00D7500E"/>
    <w:rsid w:val="00EB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C5FE"/>
  <w15:chartTrackingRefBased/>
  <w15:docId w15:val="{48E2A8A2-FF83-4384-8BAA-437465AF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1010</Words>
  <Characters>5762</Characters>
  <Application>Microsoft Office Word</Application>
  <DocSecurity>0</DocSecurity>
  <Lines>48</Lines>
  <Paragraphs>13</Paragraphs>
  <ScaleCrop>false</ScaleCrop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Mervie Isip</dc:creator>
  <cp:keywords/>
  <dc:description/>
  <cp:lastModifiedBy>Mervie Isip</cp:lastModifiedBy>
  <cp:revision>1</cp:revision>
  <dcterms:created xsi:type="dcterms:W3CDTF">2025-07-31T06:47:00Z</dcterms:created>
  <dcterms:modified xsi:type="dcterms:W3CDTF">2025-07-31T06:47:00Z</dcterms:modified>
</cp:coreProperties>
</file>