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spacing w:after="160"/>
        <w:jc w:val="center"/>
      </w:pPr>
      <w:r>
        <w:rPr>
          <w:rFonts w:ascii="Traditional Arabic" w:hAnsi="Traditional Arabic" w:cs="Traditional Arabic"/>
          <w:b/>
          <w:color w:val="1B3A8C"/>
          <w:sz w:val="52"/>
          <w:rtl/>
          <w:szCs w:val="52"/>
          <w:bCs/>
        </w:rPr>
        <w:t>خطبة الصبر</w:t>
      </w:r>
    </w:p>
    <w:p>
      <w:pPr>
        <w:pStyle w:val="Heading1"/>
        <w:bidi/>
        <w:spacing w:after="160"/>
        <w:jc w:val="right"/>
      </w:pPr>
      <w:r>
        <w:rPr>
          <w:rFonts w:ascii="Traditional Arabic" w:hAnsi="Traditional Arabic" w:cs="Traditional Arabic"/>
          <w:b/>
          <w:color w:val="2464EC"/>
          <w:sz w:val="40"/>
          <w:rtl/>
          <w:szCs w:val="40"/>
          <w:bCs/>
        </w:rPr>
        <w:t>الصبر مفتاح الفرج</w:t>
      </w:r>
    </w:p>
    <w:p>
      <w:pPr>
        <w:bidi/>
        <w:spacing w:after="160"/>
        <w:jc w:val="both"/>
      </w:pPr>
      <w:r>
        <w:rPr>
          <w:rFonts w:ascii="Traditional Arabic" w:hAnsi="Traditional Arabic" w:cs="Traditional Arabic"/>
          <w:sz w:val="32"/>
          <w:rtl/>
          <w:szCs w:val="32"/>
        </w:rPr>
        <w:t>الحمد لله رب العالمين، والصلاة والسلام على أشرف الأنبياء والمرسلين، أما بعد:</w:t>
      </w:r>
    </w:p>
    <w:p>
      <w:pPr>
        <w:bidi/>
        <w:spacing w:after="160"/>
        <w:jc w:val="both"/>
      </w:pPr>
      <w:r>
        <w:rPr>
          <w:rFonts w:ascii="Traditional Arabic" w:hAnsi="Traditional Arabic" w:cs="Traditional Arabic"/>
          <w:sz w:val="32"/>
          <w:rtl/>
          <w:szCs w:val="32"/>
        </w:rPr>
        <w:t>فإن الصبر من أعظم العبادات القلبية، وبه ينال المؤمن معية الله وتوفيقه، قال الله تعالى:</w:t>
      </w:r>
    </w:p>
    <w:p>
      <w:pPr>
        <w:bidi/>
        <w:spacing w:after="160"/>
        <w:jc w:val="both"/>
      </w:pPr>
      <w:r>
        <w:rPr>
          <w:rFonts w:ascii="Traditional Arabic" w:hAnsi="Traditional Arabic" w:cs="Traditional Arabic"/>
          <w:sz w:val="36"/>
          <w:rtl/>
          <w:szCs w:val="36"/>
        </w:rPr>
        <w:t>﴿يَٰٓأَيُّهَا ٱلَّذِينَ ءَامَنُواْ ٱسۡتَعِينُواْ بِٱلصَّبۡرِ وَٱلصَّلَوٰةِۚ إِنَّ ٱللَّهَ مَعَ ٱلصَّٰبِرِينَ﴾ [البقرة: 153].</w:t>
      </w:r>
    </w:p>
    <w:p>
      <w:pPr>
        <w:bidi/>
        <w:spacing w:after="160"/>
        <w:jc w:val="both"/>
      </w:pPr>
      <w:r>
        <w:rPr>
          <w:rFonts w:ascii="Traditional Arabic" w:hAnsi="Traditional Arabic" w:cs="Traditional Arabic"/>
          <w:sz w:val="32"/>
          <w:rtl/>
          <w:szCs w:val="32"/>
        </w:rPr>
        <w:t>والصبر قرين الاحتساب والتوكّل على الله، فمن صبر واحتسب الأجر عنده نال الخير كله.</w:t>
      </w:r>
    </w:p>
    <w:p>
      <w:pPr>
        <w:pStyle w:val="Heading1"/>
        <w:bidi/>
        <w:spacing w:after="160"/>
        <w:jc w:val="right"/>
      </w:pPr>
      <w:r>
        <w:rPr>
          <w:rFonts w:ascii="Traditional Arabic" w:hAnsi="Traditional Arabic" w:cs="Traditional Arabic"/>
          <w:b/>
          <w:color w:val="2464EC"/>
          <w:sz w:val="40"/>
          <w:rtl/>
          <w:szCs w:val="40"/>
          <w:bCs/>
        </w:rPr>
        <w:t>الصبر في السنة النبوية</w:t>
      </w:r>
    </w:p>
    <w:p>
      <w:pPr>
        <w:bidi/>
        <w:spacing w:after="160"/>
        <w:jc w:val="both"/>
      </w:pPr>
      <w:r>
        <w:rPr>
          <w:rFonts w:ascii="Traditional Arabic" w:hAnsi="Traditional Arabic" w:cs="Traditional Arabic"/>
          <w:sz w:val="32"/>
          <w:rtl/>
          <w:szCs w:val="32"/>
        </w:rPr>
        <w:t>وقد بيّن النبي ﷺ أن حال المؤمن كله خير في السراء والضراء:</w:t>
      </w:r>
    </w:p>
    <w:p>
      <w:pPr>
        <w:bidi/>
        <w:spacing w:after="160"/>
        <w:jc w:val="both"/>
      </w:pPr>
      <w:r>
        <w:rPr>
          <w:rFonts w:ascii="Traditional Arabic" w:hAnsi="Traditional Arabic" w:cs="Traditional Arabic"/>
          <w:sz w:val="32"/>
          <w:rtl/>
          <w:szCs w:val="32"/>
        </w:rPr>
        <w:t>عَنْ صُهَيْبٍ رضي الله عنه قَالَ: قَالَ رَسُولُ اللهِ صَلَّى اللهُ عَلَيْهِ وَسَلَّمَ: «عَجَبًا لِأَمْرِ الْمُؤْمِنِ، إِنَّ أَمْرَهُ كُلَّهُ خَيْرٌ، وَلَيْسَ ذَاكَ لِأَحَدٍ إِلَّا لِلْمُؤْمِنِ، إِنْ أَصَابَتْهُ سَرَّاءُ شَكَرَ، فَكَانَ خَيْرًا لَهُ، وَإِنْ أَصَابَتْهُ ضَرَّاءُ صَبَرَ، فَكَانَ خَيْرًا لَهُ». رواه مسلم.</w:t>
      </w:r>
    </w:p>
    <w:p>
      <w:pPr>
        <w:pStyle w:val="Heading1"/>
        <w:bidi/>
        <w:spacing w:after="160"/>
        <w:jc w:val="right"/>
      </w:pPr>
      <w:r>
        <w:rPr>
          <w:rFonts w:ascii="Traditional Arabic" w:hAnsi="Traditional Arabic" w:cs="Traditional Arabic"/>
          <w:b/>
          <w:color w:val="2464EC"/>
          <w:sz w:val="40"/>
          <w:rtl/>
          <w:szCs w:val="40"/>
          <w:bCs/>
        </w:rPr>
        <w:t>من أقوال الصحابة</w:t>
      </w:r>
    </w:p>
    <w:p>
      <w:pPr>
        <w:bidi/>
        <w:spacing w:after="160"/>
        <w:jc w:val="both"/>
      </w:pPr>
      <w:r>
        <w:rPr>
          <w:rFonts w:ascii="Traditional Arabic" w:hAnsi="Traditional Arabic" w:cs="Traditional Arabic"/>
          <w:sz w:val="32"/>
          <w:rtl/>
          <w:szCs w:val="32"/>
        </w:rPr>
        <w:t>ومن الصبر اغتنام العمر في الطاعة، وكان عبد الله بن عمر رضي الله عنهما يقول: «إِذَا أَمْسَيْتَ فَلاَ تَنْتَظِرِ الصَّبَاحَ، وَإِذَا أَصْبَحْتَ فَلاَ تَنْتَظِرِ المَسَاءَ، وَخُذْ مِنْ صِحَّتِكَ لِمَرَضِكَ، وَمِنْ حَيَاتِكَ لِمَوْتِكَ». رواه البخاري.</w:t>
      </w:r>
    </w:p>
    <w:p>
      <w:pPr>
        <w:pStyle w:val="Heading1"/>
        <w:bidi/>
        <w:spacing w:after="160"/>
        <w:jc w:val="right"/>
      </w:pPr>
      <w:r>
        <w:rPr>
          <w:rFonts w:ascii="Traditional Arabic" w:hAnsi="Traditional Arabic" w:cs="Traditional Arabic"/>
          <w:b/>
          <w:color w:val="2464EC"/>
          <w:sz w:val="40"/>
          <w:rtl/>
          <w:szCs w:val="40"/>
          <w:bCs/>
        </w:rPr>
        <w:t>جزاء الصابرين</w:t>
      </w:r>
    </w:p>
    <w:p>
      <w:pPr>
        <w:bidi/>
        <w:spacing w:after="160"/>
        <w:jc w:val="both"/>
      </w:pPr>
      <w:r>
        <w:rPr>
          <w:rFonts w:ascii="Traditional Arabic" w:hAnsi="Traditional Arabic" w:cs="Traditional Arabic"/>
          <w:sz w:val="32"/>
          <w:rtl/>
          <w:szCs w:val="32"/>
        </w:rPr>
        <w:t>وأجر الصابرين عظيم لا يُحدّ بعدد، قال الله تعالى:</w:t>
      </w:r>
    </w:p>
    <w:p>
      <w:pPr>
        <w:bidi/>
        <w:spacing w:after="160"/>
        <w:jc w:val="both"/>
      </w:pPr>
      <w:r>
        <w:rPr>
          <w:rFonts w:ascii="Traditional Arabic" w:hAnsi="Traditional Arabic" w:cs="Traditional Arabic"/>
          <w:sz w:val="36"/>
          <w:rtl/>
          <w:szCs w:val="36"/>
        </w:rPr>
        <w:t>﴿إِنَّمَا يُوَفَّى ٱلصَّٰبِرُونَ أَجۡرَهُم بِغَيۡرِ حِسَابٖ﴾ [الزمر: 10].</w:t>
      </w:r>
    </w:p>
    <w:p>
      <w:pPr>
        <w:bidi/>
        <w:spacing w:after="160"/>
        <w:jc w:val="both"/>
      </w:pPr>
      <w:r>
        <w:rPr>
          <w:rFonts w:ascii="Traditional Arabic" w:hAnsi="Traditional Arabic" w:cs="Traditional Arabic"/>
          <w:sz w:val="32"/>
          <w:rtl/>
          <w:szCs w:val="32"/>
        </w:rPr>
        <w:t>اللهم اجعلنا من الصابرين الشاكرين، وارزقنا الرضا بقضائك.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خطبة الصبر — ملف تجريبي من منصة مُنير</dc:title>
  <dc:subject/>
  <dc:creator>منصة مُنير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