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mbria" w:cs="Cambria" w:eastAsia="Cambria" w:hAnsi="Cambria"/>
          <w:b/>
          <w:bCs/>
          <w:sz w:val="44"/>
          <w:szCs w:val="44"/>
        </w:rPr>
        <w:t xml:space="preserve">The Formal Grounding of Garnet</w:t>
      </w:r>
    </w:p>
    <w:p>
      <w:pPr>
        <w:spacing w:after="360" w:before="0"/>
        <w:jc w:val="center"/>
      </w:pPr>
      <w:r>
        <w:rPr>
          <w:rFonts w:ascii="Cambria" w:cs="Cambria" w:eastAsia="Cambria" w:hAnsi="Cambria"/>
          <w:i/>
          <w:iCs/>
          <w:sz w:val="28"/>
          <w:szCs w:val="28"/>
        </w:rPr>
        <w:t xml:space="preserve">Affine Type Theory, RustBelt, and the Mathematics of Mode Boundaries</w:t>
      </w:r>
    </w:p>
    <w:p>
      <w:pPr>
        <w:spacing w:after="120" w:before="240"/>
        <w:jc w:val="center"/>
      </w:pPr>
      <w:r>
        <w:rPr>
          <w:rFonts w:ascii="Cambria" w:cs="Cambria" w:eastAsia="Cambria" w:hAnsi="Cambria"/>
          <w:sz w:val="24"/>
          <w:szCs w:val="24"/>
        </w:rPr>
        <w:t xml:space="preserve">Paper V — Garnet Language Project</w:t>
      </w:r>
    </w:p>
    <w:p>
      <w:pPr>
        <w:spacing w:after="120" w:before="0"/>
        <w:jc w:val="center"/>
      </w:pPr>
      <w:r>
        <w:rPr>
          <w:rFonts w:ascii="Cambria" w:cs="Cambria" w:eastAsia="Cambria" w:hAnsi="Cambria"/>
          <w:sz w:val="22"/>
          <w:szCs w:val="22"/>
        </w:rPr>
        <w:t xml:space="preserve">Version 1.0 — April 2026</w:t>
      </w:r>
    </w:p>
    <w:p>
      <w:pPr>
        <w:spacing w:after="600" w:before="0"/>
        <w:jc w:val="center"/>
      </w:pPr>
      <w:r>
        <w:rPr>
          <w:rFonts w:ascii="Cambria" w:cs="Cambria" w:eastAsia="Cambria" w:hAnsi="Cambria"/>
          <w:i/>
          <w:iCs/>
          <w:sz w:val="22"/>
          <w:szCs w:val="22"/>
        </w:rPr>
        <w:t xml:space="preserve">Target venues: PLDI · POPL · OOPSLA · arXiv preprint</w:t>
      </w:r>
    </w:p>
    <w:p>
      <w:pPr>
        <w:spacing w:after="60" w:before="1200"/>
        <w:jc w:val="center"/>
      </w:pPr>
      <w:r>
        <w:rPr>
          <w:rFonts w:ascii="Cambria" w:cs="Cambria" w:eastAsia="Cambria" w:hAnsi="Cambria"/>
          <w:i/>
          <w:iCs/>
          <w:sz w:val="22"/>
          <w:szCs w:val="22"/>
        </w:rPr>
        <w:t xml:space="preserve">“Where there is no vision, the people perish.”</w:t>
      </w:r>
    </w:p>
    <w:p>
      <w:pPr>
        <w:spacing w:after="240" w:before="0"/>
        <w:jc w:val="center"/>
      </w:pPr>
      <w:r>
        <w:rPr>
          <w:rFonts w:ascii="Cambria" w:cs="Cambria" w:eastAsia="Cambria" w:hAnsi="Cambria"/>
          <w:sz w:val="20"/>
          <w:szCs w:val="20"/>
        </w:rPr>
        <w:t xml:space="preserve">— Proverbs 29:18</w:t>
      </w:r>
    </w:p>
    <w:p>
      <w:r>
        <w:br w:type="page"/>
      </w:r>
    </w:p>
    <w:p>
      <w:pPr>
        <w:pStyle w:val="Heading1"/>
        <w:spacing w:after="180" w:before="360"/>
      </w:pPr>
      <w:r>
        <w:rPr>
          <w:rFonts w:ascii="Cambria" w:cs="Cambria" w:eastAsia="Cambria" w:hAnsi="Cambria"/>
          <w:b/>
          <w:bCs/>
          <w:sz w:val="32"/>
          <w:szCs w:val="32"/>
        </w:rPr>
        <w:t xml:space="preserve">Abstract</w:t>
      </w:r>
    </w:p>
    <w:p>
      <w:pPr>
        <w:spacing w:after="120" w:before="60" w:line="300"/>
        <w:jc w:val="both"/>
      </w:pPr>
      <w:r>
        <w:rPr>
          <w:rFonts w:ascii="Cambria" w:cs="Cambria" w:eastAsia="Cambria" w:hAnsi="Cambria"/>
          <w:sz w:val="22"/>
          <w:szCs w:val="22"/>
        </w:rPr>
        <w:t xml:space="preserve">Garnet is a dual-mode, agent-native language platform whose central design commitment is the refusal of a long-standing trade-off in programming language design: the choice between systems-level safety and developer-level joy. Where Rust offers compile-time memory safety at the cost of cognitive load and prototyping friction, and Ruby offers expressive ergonomics at the cost of runtime guarantees and concurrency rigor, Garnet supplies both — through a managed default mode whose surface borrows from Ruby and a @safe opt-in mode whose discipline borrows from Rust. The two modes coexist in a single source program and interoperate through a formally specified mode boundary.</w:t>
      </w:r>
    </w:p>
    <w:p>
      <w:pPr>
        <w:spacing w:after="120" w:before="60" w:line="300"/>
        <w:jc w:val="both"/>
      </w:pPr>
      <w:r>
        <w:rPr>
          <w:rFonts w:ascii="Cambria" w:cs="Cambria" w:eastAsia="Cambria" w:hAnsi="Cambria"/>
          <w:sz w:val="22"/>
          <w:szCs w:val="22"/>
        </w:rPr>
        <w:t xml:space="preserve">This paper establishes the mathematical foundation for that design. We define a core calculus, λ_GAR, structured as two sub-calculi (λ_managed and λ_safe) joined by a bridging judgment. λ_safe is an affine λ-calculus with ownership and borrowing in the lineage of Rust and the RustBelt project; λ_managed is a call-by-value λ-calculus with reference counting (ARC) in the lineage of Swift. We give the typing rules for the mode boundary, state progress and preservation theorems for each sub-calculus, and sketch a non-interference result for crossings — the formal expression of the design intuition that managed code cannot silently corrupt safe-mode invariants and that safe code, on exit, cannot leak resources into managed scope.</w:t>
      </w:r>
    </w:p>
    <w:p>
      <w:pPr>
        <w:spacing w:after="120" w:before="60" w:line="300"/>
        <w:jc w:val="both"/>
      </w:pPr>
      <w:r>
        <w:rPr>
          <w:rFonts w:ascii="Cambria" w:cs="Cambria" w:eastAsia="Cambria" w:hAnsi="Cambria"/>
          <w:sz w:val="22"/>
          <w:szCs w:val="22"/>
        </w:rPr>
        <w:t xml:space="preserve">We further show how Garnet’s memory primitives — working, episodic, semantic, and procedural memories, drawn from the contemporary literature on agentic systems — admit a natural reading as affine resources subject to a Relevance + Recency + Importance decay function. Typed actor protocols are then recovered as session types over the same affine substrate, yielding compiler-enforced communication discipline and a path to multi-agent consistency on a shared Memory Core.</w:t>
      </w:r>
    </w:p>
    <w:p>
      <w:pPr>
        <w:spacing w:after="120" w:before="60" w:line="300"/>
        <w:jc w:val="both"/>
      </w:pPr>
      <w:r>
        <w:rPr>
          <w:rFonts w:ascii="Cambria" w:cs="Cambria" w:eastAsia="Cambria" w:hAnsi="Cambria"/>
          <w:sz w:val="22"/>
          <w:szCs w:val="22"/>
        </w:rPr>
        <w:t xml:space="preserve">The contribution of the paper is threefold. First, the dual-mode calculus is, to our knowledge, the first formal account of a language whose surface deliberately spans the managed/systems divide and whose mode boundary is a typing judgment rather than a foreign-function interface. Second, the affine reading of agentic memory primitives links contemporary memory-engineering practice to type theory in a way that produces actionable engineering invariants. Third, the soundness sketches and the RustBelt-style grounding identify exactly which guarantees the language core supplies and which belong to the runtime layer — a separation of concerns that, as the four-model consensus around Garnet has repeatedly emphasized, is essential to both honest claims and tractable engineering.</w:t>
      </w:r>
    </w:p>
    <w:p>
      <w:pPr>
        <w:spacing w:after="120" w:before="60" w:line="300"/>
        <w:jc w:val="both"/>
      </w:pPr>
      <w:r>
        <w:rPr>
          <w:rFonts w:ascii="Cambria" w:cs="Cambria" w:eastAsia="Cambria" w:hAnsi="Cambria"/>
          <w:sz w:val="22"/>
          <w:szCs w:val="22"/>
        </w:rPr>
        <w:t xml:space="preserve">The paper is intended as a credibility floor for Garnet and as a submittable artifact in its own right. It is not an implementation report; the engineering ladder that lowers this calculus to a working compiler is described in companion documents and is presently at Rung 1 of six. What is established here is the mathematics that the implementation is obliged to honor.</w:t>
      </w:r>
    </w:p>
    <w:p>
      <w:r>
        <w:rPr>
          <w:sz w:val="18"/>
          <w:szCs w:val="18"/>
        </w:rPr>
        <w:t xml:space="preserve"> </w:t>
      </w:r>
    </w:p>
    <w:p>
      <w:r>
        <w:br w:type="page"/>
      </w:r>
    </w:p>
    <w:p>
      <w:pPr>
        <w:pStyle w:val="Heading1"/>
        <w:spacing w:after="180" w:before="360"/>
      </w:pPr>
      <w:r>
        <w:rPr>
          <w:rFonts w:ascii="Cambria" w:cs="Cambria" w:eastAsia="Cambria" w:hAnsi="Cambria"/>
          <w:b/>
          <w:bCs/>
          <w:sz w:val="32"/>
          <w:szCs w:val="32"/>
        </w:rPr>
        <w:t xml:space="preserve">1. Introduction</w:t>
      </w:r>
    </w:p>
    <w:p>
      <w:pPr>
        <w:spacing w:after="120" w:before="60" w:line="300"/>
        <w:jc w:val="both"/>
      </w:pPr>
      <w:r>
        <w:rPr>
          <w:rFonts w:ascii="Cambria" w:cs="Cambria" w:eastAsia="Cambria" w:hAnsi="Cambria"/>
          <w:sz w:val="22"/>
          <w:szCs w:val="22"/>
        </w:rPr>
        <w:t xml:space="preserve">Programming language design has, for most of its history, been organized around a small number of dominant trade-offs. Among the most consequential is the trade-off between safety and expressiveness — or, in the framing we prefer, between rigor and joy. The languages that occupy the rigor pole, of which Rust is the contemporary exemplar, supply strong static guarantees about memory and concurrency at the cost of a steep learning curve, a famously demanding compiler, and a prototyping experience that practitioners often describe as a fight. The languages that occupy the joy pole, of which Ruby remains the canonical case, supply a fluent surface, a rich metaprogramming repertoire, a REPL-first workflow, and a community ethos that prizes developer happiness — but at the cost of a runtime that can pause, a concurrency story that has historically been an afterthought, and a class of bugs that compile-time discipline would forbid.</w:t>
      </w:r>
    </w:p>
    <w:p>
      <w:pPr>
        <w:spacing w:after="120" w:before="60" w:line="300"/>
        <w:jc w:val="both"/>
      </w:pPr>
      <w:r>
        <w:rPr>
          <w:rFonts w:ascii="Cambria" w:cs="Cambria" w:eastAsia="Cambria" w:hAnsi="Cambria"/>
          <w:sz w:val="22"/>
          <w:szCs w:val="22"/>
        </w:rPr>
        <w:t xml:space="preserve">The Garnet language project takes the position that this trade-off is not, at its root, a law of nature. It is an artifact of historical accidents in compiler engineering, of the particular order in which research traditions matured, and of the difficulty — long believed insurmountable — of reconciling two value systems within a single typing discipline. Garnet’s claim is that the reconciliation is now tractable. The combination of two decades of advances in linear and affine type theory, the existence of a mechanized soundness proof for a substantial fragment of Rust (RustBelt), the production-scale precedent set by Swift’s ARC plus actor model, and the operational pressures of agentic systems (which demand both ergonomic surfaces and uncompromising safety on hot paths) together constitute a moment in which a dual-mode language is not only desirable but feasible.</w:t>
      </w:r>
    </w:p>
    <w:p>
      <w:pPr>
        <w:spacing w:after="120" w:before="60" w:line="300"/>
        <w:jc w:val="both"/>
      </w:pPr>
      <w:r>
        <w:rPr>
          <w:rFonts w:ascii="Cambria" w:cs="Cambria" w:eastAsia="Cambria" w:hAnsi="Cambria"/>
          <w:sz w:val="22"/>
          <w:szCs w:val="22"/>
        </w:rPr>
        <w:t xml:space="preserve">This paper is the formal grounding of that claim. It does not argue, in the manner of a position paper, that Garnet ought to exist. It assumes the desirability and asks the harder question: what is the mathematics? Specifically, what calculus describes a language with two coexisting evaluation regimes; what is the type discipline of the boundary between them; what soundness properties are achievable; and what guarantees does the language core owe to a programmer who writes across the boundary?</w:t>
      </w:r>
    </w:p>
    <w:p>
      <w:pPr>
        <w:pStyle w:val="Heading2"/>
        <w:spacing w:after="140" w:before="280"/>
      </w:pPr>
      <w:r>
        <w:rPr>
          <w:rFonts w:ascii="Cambria" w:cs="Cambria" w:eastAsia="Cambria" w:hAnsi="Cambria"/>
          <w:b/>
          <w:bCs/>
          <w:sz w:val="26"/>
          <w:szCs w:val="26"/>
        </w:rPr>
        <w:t xml:space="preserve">1.1 Contribution</w:t>
      </w:r>
    </w:p>
    <w:p>
      <w:pPr>
        <w:spacing w:after="120" w:before="60" w:line="300"/>
        <w:jc w:val="both"/>
      </w:pPr>
      <w:r>
        <w:rPr>
          <w:rFonts w:ascii="Cambria" w:cs="Cambria" w:eastAsia="Cambria" w:hAnsi="Cambria"/>
          <w:sz w:val="22"/>
          <w:szCs w:val="22"/>
        </w:rPr>
        <w:t xml:space="preserve">The paper makes four contributions:</w:t>
      </w:r>
    </w:p>
    <w:p>
      <w:pPr>
        <w:pStyle w:val="ListParagraph"/>
        <w:numPr>
          <w:ilvl w:val="0"/>
          <w:numId w:val="2"/>
        </w:numPr>
        <w:spacing w:after="40" w:before="40" w:line="280"/>
      </w:pPr>
      <w:r>
        <w:rPr>
          <w:rFonts w:ascii="Cambria" w:cs="Cambria" w:eastAsia="Cambria" w:hAnsi="Cambria"/>
          <w:sz w:val="22"/>
          <w:szCs w:val="22"/>
        </w:rPr>
        <w:t xml:space="preserve">A core calculus, λ_GAR, factored into a managed sub-calculus λ_managed and a safe sub-calculus λ_safe joined by a bridging judgment. The factoring is not a syntactic convenience: the two sub-calculi have genuinely different operational semantics — call-by-value with reference counting in the managed case, affine substitution with ownership transfer in the safe case — and the bridging judgment is what allows them to share a program.</w:t>
      </w:r>
    </w:p>
    <w:p>
      <w:pPr>
        <w:pStyle w:val="ListParagraph"/>
        <w:numPr>
          <w:ilvl w:val="0"/>
          <w:numId w:val="2"/>
        </w:numPr>
        <w:spacing w:after="40" w:before="40" w:line="280"/>
      </w:pPr>
      <w:r>
        <w:rPr>
          <w:rFonts w:ascii="Cambria" w:cs="Cambria" w:eastAsia="Cambria" w:hAnsi="Cambria"/>
          <w:sz w:val="22"/>
          <w:szCs w:val="22"/>
        </w:rPr>
        <w:t xml:space="preserve">Typing rules for the mode boundary, including the rules governing ownership transfer at boundary crossings, the @safe escape hatch from managed code, and the managed-call escape from safe code. We argue that the boundary is the single most consequential design surface in a dual-mode language and that prior systems (notably Rust’s unsafe blocks and Swift’s @objc bridging) have treated it informally.</w:t>
      </w:r>
    </w:p>
    <w:p>
      <w:pPr>
        <w:pStyle w:val="ListParagraph"/>
        <w:numPr>
          <w:ilvl w:val="0"/>
          <w:numId w:val="2"/>
        </w:numPr>
        <w:spacing w:after="40" w:before="40" w:line="280"/>
      </w:pPr>
      <w:r>
        <w:rPr>
          <w:rFonts w:ascii="Cambria" w:cs="Cambria" w:eastAsia="Cambria" w:hAnsi="Cambria"/>
          <w:sz w:val="22"/>
          <w:szCs w:val="22"/>
        </w:rPr>
        <w:t xml:space="preserve">Statements of progress and preservation for each sub-calculus and a sketch of a non-interference theorem for boundary crossings. The non-interference result is what makes the mode boundary something more than a documentation convention: it is the formal expression of the intuition that managed-side reference cycles cannot corrupt safe-side ownership invariants and that safe-side resource leaks cannot escape into managed scope without being noticed by the type system.</w:t>
      </w:r>
    </w:p>
    <w:p>
      <w:pPr>
        <w:pStyle w:val="ListParagraph"/>
        <w:numPr>
          <w:ilvl w:val="0"/>
          <w:numId w:val="2"/>
        </w:numPr>
        <w:spacing w:after="40" w:before="40" w:line="280"/>
      </w:pPr>
      <w:r>
        <w:rPr>
          <w:rFonts w:ascii="Cambria" w:cs="Cambria" w:eastAsia="Cambria" w:hAnsi="Cambria"/>
          <w:sz w:val="22"/>
          <w:szCs w:val="22"/>
        </w:rPr>
        <w:t xml:space="preserve">An affine reading of the four memory primitives — working, episodic, semantic, procedural — that have emerged from the agentic-systems literature. We show that each admits a natural reading as an affine resource governed by a Relevance + Recency + Importance decay function (the OQ-7 formulation from the Garnet design notes), and that typed actor protocols over a shared Memory Core can be encoded as session types on the same affine substrate.</w:t>
      </w:r>
    </w:p>
    <w:p>
      <w:pPr>
        <w:pStyle w:val="Heading2"/>
        <w:spacing w:after="140" w:before="280"/>
      </w:pPr>
      <w:r>
        <w:rPr>
          <w:rFonts w:ascii="Cambria" w:cs="Cambria" w:eastAsia="Cambria" w:hAnsi="Cambria"/>
          <w:b/>
          <w:bCs/>
          <w:sz w:val="26"/>
          <w:szCs w:val="26"/>
        </w:rPr>
        <w:t xml:space="preserve">1.2 What this paper is not</w:t>
      </w:r>
    </w:p>
    <w:p>
      <w:pPr>
        <w:spacing w:after="120" w:before="60" w:line="300"/>
        <w:jc w:val="both"/>
      </w:pPr>
      <w:r>
        <w:rPr>
          <w:rFonts w:ascii="Cambria" w:cs="Cambria" w:eastAsia="Cambria" w:hAnsi="Cambria"/>
          <w:sz w:val="22"/>
          <w:szCs w:val="22"/>
        </w:rPr>
        <w:t xml:space="preserve">This paper is not an implementation report. The engineering ladder that lowers λ_GAR to a working compiler — Mini-Spec, parser, managed interpreter, safe lowering, memory core, harness runtime — is described in companion documents and is presently at Rung 1 of six. The reader interested in the production engineering should consult those documents; the reader interested in whether Garnet’s claims are mathematically defensible is in the right place.</w:t>
      </w:r>
    </w:p>
    <w:p>
      <w:pPr>
        <w:spacing w:after="120" w:before="60" w:line="300"/>
        <w:jc w:val="both"/>
      </w:pPr>
      <w:r>
        <w:rPr>
          <w:rFonts w:ascii="Cambria" w:cs="Cambria" w:eastAsia="Cambria" w:hAnsi="Cambria"/>
          <w:sz w:val="22"/>
          <w:szCs w:val="22"/>
        </w:rPr>
        <w:t xml:space="preserve">Nor is this paper an exhaustive survey of related work. We discuss the lineage that immediately bears on the design — Rust and RustBelt, Swift and its ARC/actor model, Pony and Encore for capability-based concurrency, Koka for effect systems, Granule for graded modal types, ATS for linear types in practice — and we cite the foundational results we depend on. A complete treatment of the linear- and affine-types literature would double the page count and is left to the references.</w:t>
      </w:r>
    </w:p>
    <w:p>
      <w:pPr>
        <w:spacing w:after="120" w:before="60" w:line="300"/>
        <w:jc w:val="both"/>
      </w:pPr>
      <w:r>
        <w:rPr>
          <w:rFonts w:ascii="Cambria" w:cs="Cambria" w:eastAsia="Cambria" w:hAnsi="Cambria"/>
          <w:sz w:val="22"/>
          <w:szCs w:val="22"/>
        </w:rPr>
        <w:t xml:space="preserve">Finally, this paper is not a proof in the strict mechanized sense. The progress and preservation results are stated as theorems and proved in the standard structural-induction style of a research paper. A mechanization of λ_GAR in Coq or Iris is a natural follow-on and is identified as such in the Discussion. RustBelt itself was a multi-year effort by several researchers; we do not claim to have completed an analogous effort in a single paper, only to have stated the result the analogous effort would have to prove.</w:t>
      </w:r>
    </w:p>
    <w:p>
      <w:pPr>
        <w:pStyle w:val="Heading2"/>
        <w:spacing w:after="140" w:before="280"/>
      </w:pPr>
      <w:r>
        <w:rPr>
          <w:rFonts w:ascii="Cambria" w:cs="Cambria" w:eastAsia="Cambria" w:hAnsi="Cambria"/>
          <w:b/>
          <w:bCs/>
          <w:sz w:val="26"/>
          <w:szCs w:val="26"/>
        </w:rPr>
        <w:t xml:space="preserve">1.3 The four-model consensus</w:t>
      </w:r>
    </w:p>
    <w:p>
      <w:pPr>
        <w:spacing w:after="120" w:before="60" w:line="300"/>
        <w:jc w:val="both"/>
      </w:pPr>
      <w:r>
        <w:rPr>
          <w:rFonts w:ascii="Cambria" w:cs="Cambria" w:eastAsia="Cambria" w:hAnsi="Cambria"/>
          <w:sz w:val="22"/>
          <w:szCs w:val="22"/>
        </w:rPr>
        <w:t xml:space="preserve">The Garnet design has been adjudicated in parallel by four contemporary frontier language models — Claude Opus 4.6, GPT-5.4 Pro, Grok 4.2, and Gemini 3.1 Pro Deep Research — each given the full corpus of design notes and asked to identify points of agreement, points of divergence, and unresolved questions. The exercise produced eight points of unanimous agreement and three adjudicated divergences. The points of agreement that bear on this paper are: that the dual-mode design is coherent; that the mode boundary requires a formal account; that affine type theory rather than full linear type theory is the right discipline for the safe sub-calculus; that ARC is the right managed-side memory model given the Swift precedent; that memory primitives belong in the language core rather than in a library; that typed actors are the right concurrency primitive; that the Relevance+Recency+Importance decay function is the right starting formulation for memory salience; and that runtime-layer optimizations (notably the TurboQuant family) are not language-core guarantees and should be cleanly separated from the formal contract.</w:t>
      </w:r>
    </w:p>
    <w:p>
      <w:pPr>
        <w:spacing w:after="120" w:before="60" w:line="300"/>
        <w:jc w:val="both"/>
      </w:pPr>
      <w:r>
        <w:rPr>
          <w:rFonts w:ascii="Cambria" w:cs="Cambria" w:eastAsia="Cambria" w:hAnsi="Cambria"/>
          <w:sz w:val="22"/>
          <w:szCs w:val="22"/>
        </w:rPr>
        <w:t xml:space="preserve">The eighth point — the runtime/language-core separation — is structurally important to this paper. Throughout, we are scrupulous about which claims are made about λ_GAR itself and which are made about an implementation that targets it. Where prior dual-mode proposals have blurred this line, we treat it as load-bearing.</w:t>
      </w:r>
    </w:p>
    <w:p>
      <w:r>
        <w:br w:type="page"/>
      </w:r>
    </w:p>
    <w:p>
      <w:pPr>
        <w:pStyle w:val="Heading1"/>
        <w:spacing w:after="180" w:before="360"/>
      </w:pPr>
      <w:r>
        <w:rPr>
          <w:rFonts w:ascii="Cambria" w:cs="Cambria" w:eastAsia="Cambria" w:hAnsi="Cambria"/>
          <w:b/>
          <w:bCs/>
          <w:sz w:val="32"/>
          <w:szCs w:val="32"/>
        </w:rPr>
        <w:t xml:space="preserve">2. Background</w:t>
      </w:r>
    </w:p>
    <w:p>
      <w:pPr>
        <w:spacing w:after="120" w:before="60" w:line="300"/>
        <w:jc w:val="both"/>
      </w:pPr>
      <w:r>
        <w:rPr>
          <w:rFonts w:ascii="Cambria" w:cs="Cambria" w:eastAsia="Cambria" w:hAnsi="Cambria"/>
          <w:sz w:val="22"/>
          <w:szCs w:val="22"/>
        </w:rPr>
        <w:t xml:space="preserve">This section surveys the formal and engineering precedents on which Garnet draws. Readers familiar with affine type theory, RustBelt, ARC, and session types may skim. Readers approaching the material from one tradition (say, the Swift world) will find compact statements of what the other traditions contribute.</w:t>
      </w:r>
    </w:p>
    <w:p>
      <w:pPr>
        <w:pStyle w:val="Heading2"/>
        <w:spacing w:after="140" w:before="280"/>
      </w:pPr>
      <w:r>
        <w:rPr>
          <w:rFonts w:ascii="Cambria" w:cs="Cambria" w:eastAsia="Cambria" w:hAnsi="Cambria"/>
          <w:b/>
          <w:bCs/>
          <w:sz w:val="26"/>
          <w:szCs w:val="26"/>
        </w:rPr>
        <w:t xml:space="preserve">2.1 Affine versus linear type systems</w:t>
      </w:r>
    </w:p>
    <w:p>
      <w:pPr>
        <w:spacing w:after="120" w:before="60" w:line="300"/>
        <w:jc w:val="both"/>
      </w:pPr>
      <w:r>
        <w:rPr>
          <w:rFonts w:ascii="Cambria" w:cs="Cambria" w:eastAsia="Cambria" w:hAnsi="Cambria"/>
          <w:sz w:val="22"/>
          <w:szCs w:val="22"/>
        </w:rPr>
        <w:t xml:space="preserve">Linear type theory, in the lineage of Girard and Wadler, is built on the principle that every value of a linear type must be used exactly once. The discipline supplies strong control over resources: a file handle whose type is linear cannot be discarded without an explicit close, cannot be aliased, and cannot be used twice. The cost of the discipline is that ordinary programming patterns — branching, error handling, conditional consumption — must be encoded with care, often through additive and exponential connectives that have no obvious surface analogue.</w:t>
      </w:r>
    </w:p>
    <w:p>
      <w:pPr>
        <w:spacing w:after="120" w:before="60" w:line="300"/>
        <w:jc w:val="both"/>
      </w:pPr>
      <w:r>
        <w:rPr>
          <w:rFonts w:ascii="Cambria" w:cs="Cambria" w:eastAsia="Cambria" w:hAnsi="Cambria"/>
          <w:sz w:val="22"/>
          <w:szCs w:val="22"/>
        </w:rPr>
        <w:t xml:space="preserve">Affine type theory weakens the use-exactly-once requirement to use-at-most-once. Values may be discarded silently; they may not be aliased or used twice. The weakening is consequential: it admits the natural rendering of conditional consumption (if a branch does not use a value, the value is dropped), and it aligns much more closely with the operational intuition of ownership in systems programming. The Rust ownership model is, at its heart, an affine type discipline: values have unique owners, may be moved, may be borrowed under stricter rules, and are dropped when their owner goes out of scope.</w:t>
      </w:r>
    </w:p>
    <w:p>
      <w:pPr>
        <w:spacing w:after="120" w:before="60" w:line="300"/>
        <w:jc w:val="both"/>
      </w:pPr>
      <w:r>
        <w:rPr>
          <w:rFonts w:ascii="Cambria" w:cs="Cambria" w:eastAsia="Cambria" w:hAnsi="Cambria"/>
          <w:sz w:val="22"/>
          <w:szCs w:val="22"/>
        </w:rPr>
        <w:t xml:space="preserve">Garnet’s safe sub-calculus, λ_safe, is affine. We adopt this rather than full linearity for the same reasons Rust does: the engineering ergonomics are dramatically better, the loss of expressive power is minor for the use cases the safe mode targets, and the soundness theorems remain tractable. Where this paper relies on properties specific to affinity rather than linearity, we will say so.</w:t>
      </w:r>
    </w:p>
    <w:p>
      <w:pPr>
        <w:pStyle w:val="Heading2"/>
        <w:spacing w:after="140" w:before="280"/>
      </w:pPr>
      <w:r>
        <w:rPr>
          <w:rFonts w:ascii="Cambria" w:cs="Cambria" w:eastAsia="Cambria" w:hAnsi="Cambria"/>
          <w:b/>
          <w:bCs/>
          <w:sz w:val="26"/>
          <w:szCs w:val="26"/>
        </w:rPr>
        <w:t xml:space="preserve">2.2 RustBelt, Iris, and the mechanization of Rust</w:t>
      </w:r>
    </w:p>
    <w:p>
      <w:pPr>
        <w:spacing w:after="120" w:before="60" w:line="300"/>
        <w:jc w:val="both"/>
      </w:pPr>
      <w:r>
        <w:rPr>
          <w:rFonts w:ascii="Cambria" w:cs="Cambria" w:eastAsia="Cambria" w:hAnsi="Cambria"/>
          <w:sz w:val="22"/>
          <w:szCs w:val="22"/>
        </w:rPr>
        <w:t xml:space="preserve">RustBelt, introduced by Jung, Jourdan, Krebbers, and Dreyer in 2018 and extended in subsequent work, supplies the first mechanized soundness proof for a realistic fragment of Rust’s type system. The proof is carried out in Iris, a higher-order concurrent separation logic embedded in Coq. The technical achievement is twofold. First, RustBelt formalizes a core language, λ_Rust, that includes ownership, borrowing, and lifetimes in a form that is faithful to the surface language. Second, it provides a semantic model in Iris under which library code that internally violates the syntactic rules — Rust’s notorious unsafe blocks, used by libraries like Arc, Mutex, and RefCell — can be proven to satisfy the semantic discipline that the safe surface expects.</w:t>
      </w:r>
    </w:p>
    <w:p>
      <w:pPr>
        <w:spacing w:after="120" w:before="60" w:line="300"/>
        <w:jc w:val="both"/>
      </w:pPr>
      <w:r>
        <w:rPr>
          <w:rFonts w:ascii="Cambria" w:cs="Cambria" w:eastAsia="Cambria" w:hAnsi="Cambria"/>
          <w:sz w:val="22"/>
          <w:szCs w:val="22"/>
        </w:rPr>
        <w:t xml:space="preserve">This second move is what makes RustBelt operationally valuable for a project like Garnet. A dual-mode language has, in effect, the same problem at a larger scale: the safe mode supplies a strong syntactic discipline, the managed mode does not, and the boundary between them is precisely where a semantic model has to do the work that the syntactic discipline cannot. Garnet does not yet have a mechanized RustBelt-style proof for λ_GAR, but the architectural commitment of this paper is that any future mechanization should follow the RustBelt pattern: a syntactic typing discipline for each sub-calculus, a semantic model in separation logic into which both sub-calculi embed, and proofs that boundary crossings preserve the semantic invariants on both sides.</w:t>
      </w:r>
    </w:p>
    <w:p>
      <w:pPr>
        <w:spacing w:after="120" w:before="60" w:line="300"/>
        <w:jc w:val="both"/>
      </w:pPr>
      <w:r>
        <w:rPr>
          <w:rFonts w:ascii="Cambria" w:cs="Cambria" w:eastAsia="Cambria" w:hAnsi="Cambria"/>
          <w:sz w:val="22"/>
          <w:szCs w:val="22"/>
        </w:rPr>
        <w:t xml:space="preserve">The dependence on Iris is structurally important. Iris supplies the higher-order concurrent reasoning that Garnet’s typed-actor concurrency model will eventually require. Building λ_GAR’s soundness story on a foundation that already understands fine-grained concurrency — rather than on a sequential separation logic that would later have to be retrofitted — is one of the design decisions that makes the paper’s ambitions feasible.</w:t>
      </w:r>
    </w:p>
    <w:p>
      <w:pPr>
        <w:pStyle w:val="Heading2"/>
        <w:spacing w:after="140" w:before="280"/>
      </w:pPr>
      <w:r>
        <w:rPr>
          <w:rFonts w:ascii="Cambria" w:cs="Cambria" w:eastAsia="Cambria" w:hAnsi="Cambria"/>
          <w:b/>
          <w:bCs/>
          <w:sz w:val="26"/>
          <w:szCs w:val="26"/>
        </w:rPr>
        <w:t xml:space="preserve">2.3 ARC semantics and the Swift precedent</w:t>
      </w:r>
    </w:p>
    <w:p>
      <w:pPr>
        <w:spacing w:after="120" w:before="60" w:line="300"/>
        <w:jc w:val="both"/>
      </w:pPr>
      <w:r>
        <w:rPr>
          <w:rFonts w:ascii="Cambria" w:cs="Cambria" w:eastAsia="Cambria" w:hAnsi="Cambria"/>
          <w:sz w:val="22"/>
          <w:szCs w:val="22"/>
        </w:rPr>
        <w:t xml:space="preserve">Automatic Reference Counting, or ARC, is the memory-management strategy used by Swift and by Objective-C in its modern incarnation. The semantics are straightforward: every allocated object carries a strong reference count; the compiler inserts retain and release operations at the points where references are duplicated and dropped; when the count reaches zero, the object is deinitialized and its memory reclaimed. Cycles must be broken by the programmer through weak or unowned references. In exchange for this manual cycle-breaking, the programmer gets deterministic destruction, no garbage-collection pauses, and an ownership model that is easy to reason about in the small.</w:t>
      </w:r>
    </w:p>
    <w:p>
      <w:pPr>
        <w:spacing w:after="120" w:before="60" w:line="300"/>
        <w:jc w:val="both"/>
      </w:pPr>
      <w:r>
        <w:rPr>
          <w:rFonts w:ascii="Cambria" w:cs="Cambria" w:eastAsia="Cambria" w:hAnsi="Cambria"/>
          <w:sz w:val="22"/>
          <w:szCs w:val="22"/>
        </w:rPr>
        <w:t xml:space="preserve">Swift demonstrates, at production scale, that ARC can serve as the default memory model for a language whose surface is comfortable, whose tooling is approachable, and whose performance is acceptable for the overwhelming majority of applications. Swift further demonstrates, with its actor model and its Sendable protocol, that an ARC-based language can layer a disciplined concurrency story on top of an ergonomic surface without requiring the programmer to learn a separate ownership system.</w:t>
      </w:r>
    </w:p>
    <w:p>
      <w:pPr>
        <w:spacing w:after="120" w:before="60" w:line="300"/>
        <w:jc w:val="both"/>
      </w:pPr>
      <w:r>
        <w:rPr>
          <w:rFonts w:ascii="Cambria" w:cs="Cambria" w:eastAsia="Cambria" w:hAnsi="Cambria"/>
          <w:sz w:val="22"/>
          <w:szCs w:val="22"/>
        </w:rPr>
        <w:t xml:space="preserve">Garnet’s managed sub-calculus, λ_managed, is the formal analogue of this design. The surface borrows liberally from Ruby for syntactic comfort; the underlying memory model is ARC; the concurrency story is typed actors with message passing. The Swift precedent is what makes us willing to commit, in advance of the implementation, to a managed mode that is unapologetically reference-counted rather than tracing-collected. Tracing collection would buy us acyclic deallocation for free at the cost of unpredictable pause behavior; we judge that pauses are the worse failure mode for a language whose use cases include agentic loops with latency budgets.</w:t>
      </w:r>
    </w:p>
    <w:p>
      <w:pPr>
        <w:pStyle w:val="Heading2"/>
        <w:spacing w:after="140" w:before="280"/>
      </w:pPr>
      <w:r>
        <w:rPr>
          <w:rFonts w:ascii="Cambria" w:cs="Cambria" w:eastAsia="Cambria" w:hAnsi="Cambria"/>
          <w:b/>
          <w:bCs/>
          <w:sz w:val="26"/>
          <w:szCs w:val="26"/>
        </w:rPr>
        <w:t xml:space="preserve">2.4 Typed actors and session types</w:t>
      </w:r>
    </w:p>
    <w:p>
      <w:pPr>
        <w:spacing w:after="120" w:before="60" w:line="300"/>
        <w:jc w:val="both"/>
      </w:pPr>
      <w:r>
        <w:rPr>
          <w:rFonts w:ascii="Cambria" w:cs="Cambria" w:eastAsia="Cambria" w:hAnsi="Cambria"/>
          <w:sz w:val="22"/>
          <w:szCs w:val="22"/>
        </w:rPr>
        <w:t xml:space="preserve">The actor model, introduced by Hewitt in the 1970s and developed in many variants since, treats concurrent computation as the exchange of messages between isolated actors that own their state. The model has the appealing property that data races, in the strict sense, become impossible by construction: no two actors share mutable state. The historical weakness of the model is that the protocols by which actors communicate have, in most implementations, been informal — encoded in documentation, in convention, or at best in runtime checks.</w:t>
      </w:r>
    </w:p>
    <w:p>
      <w:pPr>
        <w:spacing w:after="120" w:before="60" w:line="300"/>
        <w:jc w:val="both"/>
      </w:pPr>
      <w:r>
        <w:rPr>
          <w:rFonts w:ascii="Cambria" w:cs="Cambria" w:eastAsia="Cambria" w:hAnsi="Cambria"/>
          <w:sz w:val="22"/>
          <w:szCs w:val="22"/>
        </w:rPr>
        <w:t xml:space="preserve">Session types, in the lineage of Honda and others, supply a typing discipline for communication protocols. A session type describes the sequence of messages a channel may carry, the alternation of sender and receiver, and the branching structure of choices. Compiler-enforced session types make protocol violations a type error rather than a runtime failure, and they compose cleanly with linear and affine substrates because messages are themselves resources that are sent and received exactly once or at most once.</w:t>
      </w:r>
    </w:p>
    <w:p>
      <w:pPr>
        <w:spacing w:after="120" w:before="60" w:line="300"/>
        <w:jc w:val="both"/>
      </w:pPr>
      <w:r>
        <w:rPr>
          <w:rFonts w:ascii="Cambria" w:cs="Cambria" w:eastAsia="Cambria" w:hAnsi="Cambria"/>
          <w:sz w:val="22"/>
          <w:szCs w:val="22"/>
        </w:rPr>
        <w:t xml:space="preserve">Garnet adopts both. Its concurrency story is typed actors whose communication channels carry session types, lowered through the compiler to the runtime’s message-passing layer. The dependence on the affine substrate is direct: a session-typed channel is itself an affine resource, and the protocol it encodes is a discipline on how that resource is consumed. This is why the soundness story for the concurrency model and the soundness story for the safe sub-calculus are not two separate results but two facets of one result.</w:t>
      </w:r>
    </w:p>
    <w:p>
      <w:r>
        <w:br w:type="page"/>
      </w:r>
    </w:p>
    <w:p>
      <w:pPr>
        <w:pStyle w:val="Heading1"/>
        <w:spacing w:after="180" w:before="360"/>
      </w:pPr>
      <w:r>
        <w:rPr>
          <w:rFonts w:ascii="Cambria" w:cs="Cambria" w:eastAsia="Cambria" w:hAnsi="Cambria"/>
          <w:b/>
          <w:bCs/>
          <w:sz w:val="32"/>
          <w:szCs w:val="32"/>
        </w:rPr>
        <w:t xml:space="preserve">3. The Garnet Core Calculus, λ_GAR</w:t>
      </w:r>
    </w:p>
    <w:p>
      <w:pPr>
        <w:spacing w:after="120" w:before="60" w:line="300"/>
        <w:jc w:val="both"/>
      </w:pPr>
      <w:r>
        <w:rPr>
          <w:rFonts w:ascii="Cambria" w:cs="Cambria" w:eastAsia="Cambria" w:hAnsi="Cambria"/>
          <w:sz w:val="22"/>
          <w:szCs w:val="22"/>
        </w:rPr>
        <w:t xml:space="preserve">This section presents λ_GAR, the formal kernel of Garnet. We develop the syntax of the two sub-calculi, the typing judgments that govern each, and the bridging judgment that allows them to share a program. The presentation is in the style of a research paper: enough formality to support the soundness arguments in subsequent sections, with informal prose for the design intuitions.</w:t>
      </w:r>
    </w:p>
    <w:p>
      <w:pPr>
        <w:pStyle w:val="Heading2"/>
        <w:spacing w:after="140" w:before="280"/>
      </w:pPr>
      <w:r>
        <w:rPr>
          <w:rFonts w:ascii="Cambria" w:cs="Cambria" w:eastAsia="Cambria" w:hAnsi="Cambria"/>
          <w:b/>
          <w:bCs/>
          <w:sz w:val="26"/>
          <w:szCs w:val="26"/>
        </w:rPr>
        <w:t xml:space="preserve">3.1 Syntax</w:t>
      </w:r>
    </w:p>
    <w:p>
      <w:pPr>
        <w:spacing w:after="120" w:before="60" w:line="300"/>
        <w:jc w:val="both"/>
      </w:pPr>
      <w:r>
        <w:rPr>
          <w:rFonts w:ascii="Cambria" w:cs="Cambria" w:eastAsia="Cambria" w:hAnsi="Cambria"/>
          <w:sz w:val="22"/>
          <w:szCs w:val="22"/>
        </w:rPr>
        <w:t xml:space="preserve">The syntax of λ_GAR is layered. We assume a countable set of variables x, a countable set of memory locations ℓ, a set of base types B (integers, booleans, strings, and so on), and a tag M ∈ {managed, safe} that marks each typing context. Types are partitioned into managed types and safe types; the bridging judgment will tell us when a value of one can cross into the other.</w:t>
      </w:r>
    </w:p>
    <w:p>
      <w:pPr>
        <w:spacing w:after="120" w:before="60" w:line="300"/>
        <w:jc w:val="both"/>
      </w:pPr>
      <w:r>
        <w:rPr>
          <w:rFonts w:ascii="Cambria" w:cs="Cambria" w:eastAsia="Cambria" w:hAnsi="Cambria"/>
          <w:sz w:val="22"/>
          <w:szCs w:val="22"/>
        </w:rPr>
        <w:t xml:space="preserve">Managed types τ_M are given by:</w:t>
      </w:r>
    </w:p>
    <w:p>
      <w:pPr>
        <w:pBdr>
          <w:left w:val="single" w:color="9B1B30" w:sz="12" w:space="8"/>
        </w:pBdr>
        <w:spacing w:after="0" w:before="120" w:line="260"/>
        <w:ind w:left="360"/>
      </w:pPr>
      <w:r>
        <w:rPr>
          <w:rFonts w:ascii="Consolas" w:cs="Consolas" w:eastAsia="Consolas" w:hAnsi="Consolas"/>
          <w:sz w:val="19"/>
          <w:szCs w:val="19"/>
        </w:rPr>
        <w:t xml:space="preserve">τ_M  ::=  B                  base types</w:t>
      </w:r>
    </w:p>
    <w:p>
      <w:pPr>
        <w:pBdr>
          <w:left w:val="single" w:color="9B1B30" w:sz="12" w:space="8"/>
        </w:pBdr>
        <w:spacing w:after="0" w:before="0" w:line="260"/>
        <w:ind w:left="360"/>
      </w:pPr>
      <w:r>
        <w:rPr>
          <w:rFonts w:ascii="Consolas" w:cs="Consolas" w:eastAsia="Consolas" w:hAnsi="Consolas"/>
          <w:sz w:val="19"/>
          <w:szCs w:val="19"/>
        </w:rPr>
        <w:t xml:space="preserve">       |  τ_M -&gt; τ_M         managed function type</w:t>
      </w:r>
    </w:p>
    <w:p>
      <w:pPr>
        <w:pBdr>
          <w:left w:val="single" w:color="9B1B30" w:sz="12" w:space="8"/>
        </w:pBdr>
        <w:spacing w:after="0" w:before="0" w:line="260"/>
        <w:ind w:left="360"/>
      </w:pPr>
      <w:r>
        <w:rPr>
          <w:rFonts w:ascii="Consolas" w:cs="Consolas" w:eastAsia="Consolas" w:hAnsi="Consolas"/>
          <w:sz w:val="19"/>
          <w:szCs w:val="19"/>
        </w:rPr>
        <w:t xml:space="preserve">       |  Ref τ_M            ARC-managed reference</w:t>
      </w:r>
    </w:p>
    <w:p>
      <w:pPr>
        <w:pBdr>
          <w:left w:val="single" w:color="9B1B30" w:sz="12" w:space="8"/>
        </w:pBdr>
        <w:spacing w:after="0" w:before="0" w:line="260"/>
        <w:ind w:left="360"/>
      </w:pPr>
      <w:r>
        <w:rPr>
          <w:rFonts w:ascii="Consolas" w:cs="Consolas" w:eastAsia="Consolas" w:hAnsi="Consolas"/>
          <w:sz w:val="19"/>
          <w:szCs w:val="19"/>
        </w:rPr>
        <w:t xml:space="preserve">       |  Actor[Π]           actor with session-typed protocol Π</w:t>
      </w:r>
    </w:p>
    <w:p>
      <w:pPr>
        <w:pBdr>
          <w:left w:val="single" w:color="9B1B30" w:sz="12" w:space="8"/>
        </w:pBdr>
        <w:spacing w:after="0" w:before="0" w:line="260"/>
        <w:ind w:left="360"/>
      </w:pPr>
      <w:r>
        <w:rPr>
          <w:rFonts w:ascii="Consolas" w:cs="Consolas" w:eastAsia="Consolas" w:hAnsi="Consolas"/>
          <w:sz w:val="19"/>
          <w:szCs w:val="19"/>
        </w:rPr>
        <w:t xml:space="preserve">       |  Mem&lt;κ&gt; τ_M         typed memory cell of kind κ</w:t>
      </w:r>
    </w:p>
    <w:p>
      <w:pPr>
        <w:pBdr>
          <w:left w:val="single" w:color="9B1B30" w:sz="12" w:space="8"/>
        </w:pBdr>
        <w:spacing w:after="160" w:before="0" w:line="260"/>
        <w:ind w:left="360"/>
      </w:pPr>
      <w:r>
        <w:rPr>
          <w:rFonts w:ascii="Consolas" w:cs="Consolas" w:eastAsia="Consolas" w:hAnsi="Consolas"/>
          <w:sz w:val="19"/>
          <w:szCs w:val="19"/>
        </w:rPr>
        <w:t xml:space="preserve">       |  Safe τ_S           managed view of a safe value</w:t>
      </w:r>
    </w:p>
    <w:p>
      <w:pPr>
        <w:spacing w:after="120" w:before="60" w:line="300"/>
        <w:jc w:val="both"/>
      </w:pPr>
      <w:r>
        <w:rPr>
          <w:rFonts w:ascii="Cambria" w:cs="Cambria" w:eastAsia="Cambria" w:hAnsi="Cambria"/>
          <w:sz w:val="22"/>
          <w:szCs w:val="22"/>
        </w:rPr>
        <w:t xml:space="preserve">Safe types τ_S are given by:</w:t>
      </w:r>
    </w:p>
    <w:p>
      <w:pPr>
        <w:pBdr>
          <w:left w:val="single" w:color="9B1B30" w:sz="12" w:space="8"/>
        </w:pBdr>
        <w:spacing w:after="0" w:before="120" w:line="260"/>
        <w:ind w:left="360"/>
      </w:pPr>
      <w:r>
        <w:rPr>
          <w:rFonts w:ascii="Consolas" w:cs="Consolas" w:eastAsia="Consolas" w:hAnsi="Consolas"/>
          <w:sz w:val="19"/>
          <w:szCs w:val="19"/>
        </w:rPr>
        <w:t xml:space="preserve">τ_S  ::=  B                  base types</w:t>
      </w:r>
    </w:p>
    <w:p>
      <w:pPr>
        <w:pBdr>
          <w:left w:val="single" w:color="9B1B30" w:sz="12" w:space="8"/>
        </w:pBdr>
        <w:spacing w:after="0" w:before="0" w:line="260"/>
        <w:ind w:left="360"/>
      </w:pPr>
      <w:r>
        <w:rPr>
          <w:rFonts w:ascii="Consolas" w:cs="Consolas" w:eastAsia="Consolas" w:hAnsi="Consolas"/>
          <w:sz w:val="19"/>
          <w:szCs w:val="19"/>
        </w:rPr>
        <w:t xml:space="preserve">       |  τ_S -⊸ τ_S         affine function type</w:t>
      </w:r>
    </w:p>
    <w:p>
      <w:pPr>
        <w:pBdr>
          <w:left w:val="single" w:color="9B1B30" w:sz="12" w:space="8"/>
        </w:pBdr>
        <w:spacing w:after="0" w:before="0" w:line="260"/>
        <w:ind w:left="360"/>
      </w:pPr>
      <w:r>
        <w:rPr>
          <w:rFonts w:ascii="Consolas" w:cs="Consolas" w:eastAsia="Consolas" w:hAnsi="Consolas"/>
          <w:sz w:val="19"/>
          <w:szCs w:val="19"/>
        </w:rPr>
        <w:t xml:space="preserve">       |  Own τ_S            owned value</w:t>
      </w:r>
    </w:p>
    <w:p>
      <w:pPr>
        <w:pBdr>
          <w:left w:val="single" w:color="9B1B30" w:sz="12" w:space="8"/>
        </w:pBdr>
        <w:spacing w:after="0" w:before="0" w:line="260"/>
        <w:ind w:left="360"/>
      </w:pPr>
      <w:r>
        <w:rPr>
          <w:rFonts w:ascii="Consolas" w:cs="Consolas" w:eastAsia="Consolas" w:hAnsi="Consolas"/>
          <w:sz w:val="19"/>
          <w:szCs w:val="19"/>
        </w:rPr>
        <w:t xml:space="preserve">       |  &amp;'a τ_S            shared borrow with lifetime 'a</w:t>
      </w:r>
    </w:p>
    <w:p>
      <w:pPr>
        <w:pBdr>
          <w:left w:val="single" w:color="9B1B30" w:sz="12" w:space="8"/>
        </w:pBdr>
        <w:spacing w:after="0" w:before="0" w:line="260"/>
        <w:ind w:left="360"/>
      </w:pPr>
      <w:r>
        <w:rPr>
          <w:rFonts w:ascii="Consolas" w:cs="Consolas" w:eastAsia="Consolas" w:hAnsi="Consolas"/>
          <w:sz w:val="19"/>
          <w:szCs w:val="19"/>
        </w:rPr>
        <w:t xml:space="preserve">       |  &amp;'a mut τ_S        mutable borrow with lifetime 'a</w:t>
      </w:r>
    </w:p>
    <w:p>
      <w:pPr>
        <w:pBdr>
          <w:left w:val="single" w:color="9B1B30" w:sz="12" w:space="8"/>
        </w:pBdr>
        <w:spacing w:after="0" w:before="0" w:line="260"/>
        <w:ind w:left="360"/>
      </w:pPr>
      <w:r>
        <w:rPr>
          <w:rFonts w:ascii="Consolas" w:cs="Consolas" w:eastAsia="Consolas" w:hAnsi="Consolas"/>
          <w:sz w:val="19"/>
          <w:szCs w:val="19"/>
        </w:rPr>
        <w:t xml:space="preserve">       |  Chan[Π]            session-typed channel</w:t>
      </w:r>
    </w:p>
    <w:p>
      <w:pPr>
        <w:pBdr>
          <w:left w:val="single" w:color="9B1B30" w:sz="12" w:space="8"/>
        </w:pBdr>
        <w:spacing w:after="160" w:before="0" w:line="260"/>
        <w:ind w:left="360"/>
      </w:pPr>
      <w:r>
        <w:rPr>
          <w:rFonts w:ascii="Consolas" w:cs="Consolas" w:eastAsia="Consolas" w:hAnsi="Consolas"/>
          <w:sz w:val="19"/>
          <w:szCs w:val="19"/>
        </w:rPr>
        <w:t xml:space="preserve">       |  Managed τ_M        safe-mode handle to a managed value</w:t>
      </w:r>
    </w:p>
    <w:p>
      <w:pPr>
        <w:spacing w:after="120" w:before="60" w:line="300"/>
        <w:jc w:val="both"/>
      </w:pPr>
      <w:r>
        <w:rPr>
          <w:rFonts w:ascii="Cambria" w:cs="Cambria" w:eastAsia="Cambria" w:hAnsi="Cambria"/>
          <w:sz w:val="22"/>
          <w:szCs w:val="22"/>
        </w:rPr>
        <w:t xml:space="preserve">The reader will note the two crossing constructors: Safe τ_S in the managed grammar and Managed τ_M in the safe grammar. Each is the type-level marker that a value originated on the other side of the boundary. They are not interchangeable with their underlying types; they carry, at a minimum, a runtime indication of the value’s origin and, in the implementation, a thin shim that mediates access. The typing rules in §4 will make the role of these constructors precise.</w:t>
      </w:r>
    </w:p>
    <w:p>
      <w:pPr>
        <w:spacing w:after="120" w:before="60" w:line="300"/>
        <w:jc w:val="both"/>
      </w:pPr>
      <w:r>
        <w:rPr>
          <w:rFonts w:ascii="Cambria" w:cs="Cambria" w:eastAsia="Cambria" w:hAnsi="Cambria"/>
          <w:sz w:val="22"/>
          <w:szCs w:val="22"/>
        </w:rPr>
        <w:t xml:space="preserve">Memory kinds κ ∈ {working, episodic, semantic, procedural} mark the four memory types discussed in §7. Session-typed protocols Π are drawn from a standard session-type grammar with sequencing, branching, and recursion; we omit the full grammar here and refer to the literature.</w:t>
      </w:r>
    </w:p>
    <w:p>
      <w:pPr>
        <w:pStyle w:val="Heading2"/>
        <w:spacing w:after="140" w:before="280"/>
      </w:pPr>
      <w:r>
        <w:rPr>
          <w:rFonts w:ascii="Cambria" w:cs="Cambria" w:eastAsia="Cambria" w:hAnsi="Cambria"/>
          <w:b/>
          <w:bCs/>
          <w:sz w:val="26"/>
          <w:szCs w:val="26"/>
        </w:rPr>
        <w:t xml:space="preserve">3.2 Terms</w:t>
      </w:r>
    </w:p>
    <w:p>
      <w:pPr>
        <w:spacing w:after="120" w:before="60" w:line="300"/>
        <w:jc w:val="both"/>
      </w:pPr>
      <w:r>
        <w:rPr>
          <w:rFonts w:ascii="Cambria" w:cs="Cambria" w:eastAsia="Cambria" w:hAnsi="Cambria"/>
          <w:sz w:val="22"/>
          <w:szCs w:val="22"/>
        </w:rPr>
        <w:t xml:space="preserve">Managed terms e_M are essentially a call-by-value λ-calculus extended with reference creation, mutation, actor spawn, message send and receive, and a managed view of a safe value:</w:t>
      </w:r>
    </w:p>
    <w:p>
      <w:pPr>
        <w:pBdr>
          <w:left w:val="single" w:color="9B1B30" w:sz="12" w:space="8"/>
        </w:pBdr>
        <w:spacing w:after="0" w:before="120" w:line="260"/>
        <w:ind w:left="360"/>
      </w:pPr>
      <w:r>
        <w:rPr>
          <w:rFonts w:ascii="Consolas" w:cs="Consolas" w:eastAsia="Consolas" w:hAnsi="Consolas"/>
          <w:sz w:val="19"/>
          <w:szCs w:val="19"/>
        </w:rPr>
        <w:t xml:space="preserve">e_M  ::=  x  |  v  |  e_M e_M  |  λx:τ_M. e_M</w:t>
      </w:r>
    </w:p>
    <w:p>
      <w:pPr>
        <w:pBdr>
          <w:left w:val="single" w:color="9B1B30" w:sz="12" w:space="8"/>
        </w:pBdr>
        <w:spacing w:after="0" w:before="0" w:line="260"/>
        <w:ind w:left="360"/>
      </w:pPr>
      <w:r>
        <w:rPr>
          <w:rFonts w:ascii="Consolas" w:cs="Consolas" w:eastAsia="Consolas" w:hAnsi="Consolas"/>
          <w:sz w:val="19"/>
          <w:szCs w:val="19"/>
        </w:rPr>
        <w:t xml:space="preserve">       |  ref e_M  |  !e_M  |  e_M := e_M</w:t>
      </w:r>
    </w:p>
    <w:p>
      <w:pPr>
        <w:pBdr>
          <w:left w:val="single" w:color="9B1B30" w:sz="12" w:space="8"/>
        </w:pBdr>
        <w:spacing w:after="0" w:before="0" w:line="260"/>
        <w:ind w:left="360"/>
      </w:pPr>
      <w:r>
        <w:rPr>
          <w:rFonts w:ascii="Consolas" w:cs="Consolas" w:eastAsia="Consolas" w:hAnsi="Consolas"/>
          <w:sz w:val="19"/>
          <w:szCs w:val="19"/>
        </w:rPr>
        <w:t xml:space="preserve">       |  spawn e_M  |  send e_M e_M  |  recv e_M</w:t>
      </w:r>
    </w:p>
    <w:p>
      <w:pPr>
        <w:pBdr>
          <w:left w:val="single" w:color="9B1B30" w:sz="12" w:space="8"/>
        </w:pBdr>
        <w:spacing w:after="0" w:before="0" w:line="260"/>
        <w:ind w:left="360"/>
      </w:pPr>
      <w:r>
        <w:rPr>
          <w:rFonts w:ascii="Consolas" w:cs="Consolas" w:eastAsia="Consolas" w:hAnsi="Consolas"/>
          <w:sz w:val="19"/>
          <w:szCs w:val="19"/>
        </w:rPr>
        <w:t xml:space="preserve">       |  mem&lt;κ&gt; e_M  |  read e_M  |  write e_M e_M</w:t>
      </w:r>
    </w:p>
    <w:p>
      <w:pPr>
        <w:pBdr>
          <w:left w:val="single" w:color="9B1B30" w:sz="12" w:space="8"/>
        </w:pBdr>
        <w:spacing w:after="160" w:before="0" w:line="260"/>
        <w:ind w:left="360"/>
      </w:pPr>
      <w:r>
        <w:rPr>
          <w:rFonts w:ascii="Consolas" w:cs="Consolas" w:eastAsia="Consolas" w:hAnsi="Consolas"/>
          <w:sz w:val="19"/>
          <w:szCs w:val="19"/>
        </w:rPr>
        <w:t xml:space="preserve">       |  safe[ e_S ]                       (safe escape)</w:t>
      </w:r>
    </w:p>
    <w:p>
      <w:pPr>
        <w:spacing w:after="120" w:before="60" w:line="300"/>
        <w:jc w:val="both"/>
      </w:pPr>
      <w:r>
        <w:rPr>
          <w:rFonts w:ascii="Cambria" w:cs="Cambria" w:eastAsia="Cambria" w:hAnsi="Cambria"/>
          <w:sz w:val="22"/>
          <w:szCs w:val="22"/>
        </w:rPr>
        <w:t xml:space="preserve">Safe terms e_S are an affine λ-calculus extended with ownership constructs, borrows, channels, and a managed escape:</w:t>
      </w:r>
    </w:p>
    <w:p>
      <w:pPr>
        <w:pBdr>
          <w:left w:val="single" w:color="9B1B30" w:sz="12" w:space="8"/>
        </w:pBdr>
        <w:spacing w:after="0" w:before="120" w:line="260"/>
        <w:ind w:left="360"/>
      </w:pPr>
      <w:r>
        <w:rPr>
          <w:rFonts w:ascii="Consolas" w:cs="Consolas" w:eastAsia="Consolas" w:hAnsi="Consolas"/>
          <w:sz w:val="19"/>
          <w:szCs w:val="19"/>
        </w:rPr>
        <w:t xml:space="preserve">e_S  ::=  x  |  v  |  e_S e_S  |  λx:τ_S. e_S</w:t>
      </w:r>
    </w:p>
    <w:p>
      <w:pPr>
        <w:pBdr>
          <w:left w:val="single" w:color="9B1B30" w:sz="12" w:space="8"/>
        </w:pBdr>
        <w:spacing w:after="0" w:before="0" w:line="260"/>
        <w:ind w:left="360"/>
      </w:pPr>
      <w:r>
        <w:rPr>
          <w:rFonts w:ascii="Consolas" w:cs="Consolas" w:eastAsia="Consolas" w:hAnsi="Consolas"/>
          <w:sz w:val="19"/>
          <w:szCs w:val="19"/>
        </w:rPr>
        <w:t xml:space="preserve">       |  own e_S  |  move e_S  |  borrow e_S  |  borrow_mut e_S</w:t>
      </w:r>
    </w:p>
    <w:p>
      <w:pPr>
        <w:pBdr>
          <w:left w:val="single" w:color="9B1B30" w:sz="12" w:space="8"/>
        </w:pBdr>
        <w:spacing w:after="0" w:before="0" w:line="260"/>
        <w:ind w:left="360"/>
      </w:pPr>
      <w:r>
        <w:rPr>
          <w:rFonts w:ascii="Consolas" w:cs="Consolas" w:eastAsia="Consolas" w:hAnsi="Consolas"/>
          <w:sz w:val="19"/>
          <w:szCs w:val="19"/>
        </w:rPr>
        <w:t xml:space="preserve">       |  drop e_S</w:t>
      </w:r>
    </w:p>
    <w:p>
      <w:pPr>
        <w:pBdr>
          <w:left w:val="single" w:color="9B1B30" w:sz="12" w:space="8"/>
        </w:pBdr>
        <w:spacing w:after="0" w:before="0" w:line="260"/>
        <w:ind w:left="360"/>
      </w:pPr>
      <w:r>
        <w:rPr>
          <w:rFonts w:ascii="Consolas" w:cs="Consolas" w:eastAsia="Consolas" w:hAnsi="Consolas"/>
          <w:sz w:val="19"/>
          <w:szCs w:val="19"/>
        </w:rPr>
        <w:t xml:space="preserve">       |  new_chan Π  |  send_c e_S e_S  |  recv_c e_S</w:t>
      </w:r>
    </w:p>
    <w:p>
      <w:pPr>
        <w:pBdr>
          <w:left w:val="single" w:color="9B1B30" w:sz="12" w:space="8"/>
        </w:pBdr>
        <w:spacing w:after="160" w:before="0" w:line="260"/>
        <w:ind w:left="360"/>
      </w:pPr>
      <w:r>
        <w:rPr>
          <w:rFonts w:ascii="Consolas" w:cs="Consolas" w:eastAsia="Consolas" w:hAnsi="Consolas"/>
          <w:sz w:val="19"/>
          <w:szCs w:val="19"/>
        </w:rPr>
        <w:t xml:space="preserve">       |  managed[ e_M ]                    (managed escape)</w:t>
      </w:r>
    </w:p>
    <w:p>
      <w:pPr>
        <w:spacing w:after="120" w:before="60" w:line="300"/>
        <w:jc w:val="both"/>
      </w:pPr>
      <w:r>
        <w:rPr>
          <w:rFonts w:ascii="Cambria" w:cs="Cambria" w:eastAsia="Cambria" w:hAnsi="Cambria"/>
          <w:sz w:val="22"/>
          <w:szCs w:val="22"/>
        </w:rPr>
        <w:t xml:space="preserve">The two escape constructors, safe[·] and managed[·], are the syntactic surface of the boundary. A managed program that wants to descend into safe-mode discipline writes safe[e_S]; a safe program that wants to call into the managed world writes managed[e_M]. The well-typedness of these constructions is the subject of §4.</w:t>
      </w:r>
    </w:p>
    <w:p>
      <w:pPr>
        <w:pStyle w:val="Heading2"/>
        <w:spacing w:after="140" w:before="280"/>
      </w:pPr>
      <w:r>
        <w:rPr>
          <w:rFonts w:ascii="Cambria" w:cs="Cambria" w:eastAsia="Cambria" w:hAnsi="Cambria"/>
          <w:b/>
          <w:bCs/>
          <w:sz w:val="26"/>
          <w:szCs w:val="26"/>
        </w:rPr>
        <w:t xml:space="preserve">3.3 Typing contexts</w:t>
      </w:r>
    </w:p>
    <w:p>
      <w:pPr>
        <w:spacing w:after="120" w:before="60" w:line="300"/>
        <w:jc w:val="both"/>
      </w:pPr>
      <w:r>
        <w:rPr>
          <w:rFonts w:ascii="Cambria" w:cs="Cambria" w:eastAsia="Cambria" w:hAnsi="Cambria"/>
          <w:sz w:val="22"/>
          <w:szCs w:val="22"/>
        </w:rPr>
        <w:t xml:space="preserve">Because the two sub-calculi treat variables differently — managed contexts admit weakening and contraction freely, safe contexts do not — we maintain two contexts simultaneously. A judgment of λ_GAR has the shape:</w:t>
      </w:r>
    </w:p>
    <w:p>
      <w:pPr>
        <w:pBdr>
          <w:left w:val="single" w:color="9B1B30" w:sz="12" w:space="8"/>
        </w:pBdr>
        <w:spacing w:after="0" w:before="120" w:line="260"/>
        <w:ind w:left="360"/>
      </w:pPr>
      <w:r>
        <w:rPr>
          <w:rFonts w:ascii="Consolas" w:cs="Consolas" w:eastAsia="Consolas" w:hAnsi="Consolas"/>
          <w:sz w:val="19"/>
          <w:szCs w:val="19"/>
        </w:rPr>
        <w:t xml:space="preserve">Γ ; Δ  ⊢_M  e_M : τ_M       (managed judgment)</w:t>
      </w:r>
    </w:p>
    <w:p>
      <w:pPr>
        <w:pBdr>
          <w:left w:val="single" w:color="9B1B30" w:sz="12" w:space="8"/>
        </w:pBdr>
        <w:spacing w:after="160" w:before="0" w:line="260"/>
        <w:ind w:left="360"/>
      </w:pPr>
      <w:r>
        <w:rPr>
          <w:rFonts w:ascii="Consolas" w:cs="Consolas" w:eastAsia="Consolas" w:hAnsi="Consolas"/>
          <w:sz w:val="19"/>
          <w:szCs w:val="19"/>
        </w:rPr>
        <w:t xml:space="preserve">Γ ; Δ  ⊢_S  e_S : τ_S       (safe judgment)</w:t>
      </w:r>
    </w:p>
    <w:p>
      <w:pPr>
        <w:spacing w:after="120" w:before="60" w:line="300"/>
        <w:jc w:val="both"/>
      </w:pPr>
      <w:r>
        <w:rPr>
          <w:rFonts w:ascii="Cambria" w:cs="Cambria" w:eastAsia="Cambria" w:hAnsi="Cambria"/>
          <w:sz w:val="22"/>
          <w:szCs w:val="22"/>
        </w:rPr>
        <w:t xml:space="preserve">Here Γ is the managed context, treated structurally (any number of uses of any variable), and Δ is the affine safe context, treated linearly with weakening but not contraction (each variable is used at most once). The fact that both contexts are present in both judgments is what makes the mode boundary tractable: a managed term may consult a safe variable through a Managed-typed handle, and a safe term may consult a managed variable through a Safe-typed handle, and the typing rules track which side owes which discipline.</w:t>
      </w:r>
    </w:p>
    <w:p>
      <w:pPr>
        <w:pStyle w:val="Heading2"/>
        <w:spacing w:after="140" w:before="280"/>
      </w:pPr>
      <w:r>
        <w:rPr>
          <w:rFonts w:ascii="Cambria" w:cs="Cambria" w:eastAsia="Cambria" w:hAnsi="Cambria"/>
          <w:b/>
          <w:bCs/>
          <w:sz w:val="26"/>
          <w:szCs w:val="26"/>
        </w:rPr>
        <w:t xml:space="preserve">3.4 Values and the operational model</w:t>
      </w:r>
    </w:p>
    <w:p>
      <w:pPr>
        <w:spacing w:after="120" w:before="60" w:line="300"/>
        <w:jc w:val="both"/>
      </w:pPr>
      <w:r>
        <w:rPr>
          <w:rFonts w:ascii="Cambria" w:cs="Cambria" w:eastAsia="Cambria" w:hAnsi="Cambria"/>
          <w:sz w:val="22"/>
          <w:szCs w:val="22"/>
        </w:rPr>
        <w:t xml:space="preserve">Values v include closures, references, owned cells, borrows, channels, actor identifiers, and the two boundary constructors applied to values of the appropriate side. Evaluation is small-step in both sub-calculi but uses different reduction strategies: λ_managed is call-by-value with substitution that may freely duplicate variable references (managed types are non-affine), while λ_safe is call-by-value with substitution that respects affinity (variables may not be duplicated).</w:t>
      </w:r>
    </w:p>
    <w:p>
      <w:pPr>
        <w:spacing w:after="120" w:before="60" w:line="300"/>
        <w:jc w:val="both"/>
      </w:pPr>
      <w:r>
        <w:rPr>
          <w:rFonts w:ascii="Cambria" w:cs="Cambria" w:eastAsia="Cambria" w:hAnsi="Cambria"/>
          <w:sz w:val="22"/>
          <w:szCs w:val="22"/>
        </w:rPr>
        <w:t xml:space="preserve">Reference cells in λ_managed carry an ARC count in the operational semantics. The standard retain and release operations are implicit in the reduction rules: every duplication of a Ref τ_M increments the count, every drop decrements it, and a count of zero triggers deinitialization. Owned values in λ_safe have no count; their identity is established by the typing context’s affine discipline, and their lifetime is determined statically by where the owning binding goes out of scope.</w:t>
      </w:r>
    </w:p>
    <w:p>
      <w:pPr>
        <w:spacing w:after="120" w:before="60" w:line="300"/>
        <w:jc w:val="both"/>
      </w:pPr>
      <w:r>
        <w:rPr>
          <w:rFonts w:ascii="Cambria" w:cs="Cambria" w:eastAsia="Cambria" w:hAnsi="Cambria"/>
          <w:sz w:val="22"/>
          <w:szCs w:val="22"/>
        </w:rPr>
        <w:t xml:space="preserve">The two operational regimes meet at the boundary. When a managed term reduces to safe[v_S], the value v_S is conceptually “unwrapped” into safe-mode evaluation; when a safe term reduces to managed[v_M], the value v_M is handed back to managed evaluation with its ARC count appropriately adjusted. The precise reduction rules are stated in §4 alongside the typing rules they are sound for.</w:t>
      </w:r>
    </w:p>
    <w:p>
      <w:r>
        <w:br w:type="page"/>
      </w:r>
    </w:p>
    <w:p>
      <w:pPr>
        <w:pStyle w:val="Heading1"/>
        <w:spacing w:after="180" w:before="360"/>
      </w:pPr>
      <w:r>
        <w:rPr>
          <w:rFonts w:ascii="Cambria" w:cs="Cambria" w:eastAsia="Cambria" w:hAnsi="Cambria"/>
          <w:b/>
          <w:bCs/>
          <w:sz w:val="32"/>
          <w:szCs w:val="32"/>
        </w:rPr>
        <w:t xml:space="preserve">4. Mode Boundary Semantics</w:t>
      </w:r>
    </w:p>
    <w:p>
      <w:pPr>
        <w:spacing w:after="120" w:before="60" w:line="300"/>
        <w:jc w:val="both"/>
      </w:pPr>
      <w:r>
        <w:rPr>
          <w:rFonts w:ascii="Cambria" w:cs="Cambria" w:eastAsia="Cambria" w:hAnsi="Cambria"/>
          <w:sz w:val="22"/>
          <w:szCs w:val="22"/>
        </w:rPr>
        <w:t xml:space="preserve">The mode boundary is the design surface on which λ_GAR succeeds or fails. Prior dual-discipline languages have, in effect, treated boundary crossings as either an unsafe escape hatch (Rust’s unsafe) or a foreign-function interface (Swift’s @objc, OCaml’s C bindings). Both treatments cede formal ground at the most consequential point. Our position is that the boundary should be a typing judgment, that crossings should have inference rules that make explicit which discipline supplies which guarantee, and that the rules should compose.</w:t>
      </w:r>
    </w:p>
    <w:p>
      <w:pPr>
        <w:pStyle w:val="Heading2"/>
        <w:spacing w:after="140" w:before="280"/>
      </w:pPr>
      <w:r>
        <w:rPr>
          <w:rFonts w:ascii="Cambria" w:cs="Cambria" w:eastAsia="Cambria" w:hAnsi="Cambria"/>
          <w:b/>
          <w:bCs/>
          <w:sz w:val="26"/>
          <w:szCs w:val="26"/>
        </w:rPr>
        <w:t xml:space="preserve">4.1 Selected typing rules</w:t>
      </w:r>
    </w:p>
    <w:p>
      <w:pPr>
        <w:spacing w:after="120" w:before="60" w:line="300"/>
        <w:jc w:val="both"/>
      </w:pPr>
      <w:r>
        <w:rPr>
          <w:rFonts w:ascii="Cambria" w:cs="Cambria" w:eastAsia="Cambria" w:hAnsi="Cambria"/>
          <w:sz w:val="22"/>
          <w:szCs w:val="22"/>
        </w:rPr>
        <w:t xml:space="preserve">We give a small representative set of rules. The full system has approximately 30 rules across the two sub-calculi and the boundary; the rules below are the ones that bear on the soundness arguments in §5.</w:t>
      </w:r>
    </w:p>
    <w:p>
      <w:pPr>
        <w:spacing w:after="120" w:before="60" w:line="300"/>
        <w:jc w:val="both"/>
      </w:pPr>
      <w:r>
        <w:rPr>
          <w:rFonts w:ascii="Cambria" w:cs="Cambria" w:eastAsia="Cambria" w:hAnsi="Cambria"/>
          <w:sz w:val="22"/>
          <w:szCs w:val="22"/>
        </w:rPr>
        <w:t xml:space="preserve">Affine variable rule (the engine of safe-mode discipline):</w:t>
      </w:r>
    </w:p>
    <w:p>
      <w:pPr>
        <w:spacing w:after="0" w:before="160" w:line="260"/>
        <w:ind w:left="720"/>
        <w:jc w:val="left"/>
      </w:pPr>
      <w:r>
        <w:rPr>
          <w:rFonts w:ascii="Consolas" w:cs="Consolas" w:eastAsia="Consolas" w:hAnsi="Consolas"/>
          <w:sz w:val="19"/>
          <w:szCs w:val="19"/>
        </w:rPr>
        <w:t xml:space="preserve">x : τ_S ∈ Δ</w:t>
      </w:r>
    </w:p>
    <w:p>
      <w:pPr>
        <w:spacing w:after="0" w:before="0" w:line="260"/>
        <w:ind w:left="720"/>
        <w:jc w:val="left"/>
      </w:pPr>
      <w:r>
        <w:rPr>
          <w:rFonts w:ascii="Consolas" w:cs="Consolas" w:eastAsia="Consolas" w:hAnsi="Consolas"/>
          <w:sz w:val="19"/>
          <w:szCs w:val="19"/>
        </w:rPr>
        <w:t xml:space="preserve">──────────────────────────────  (S-Var)</w:t>
      </w:r>
    </w:p>
    <w:p>
      <w:pPr>
        <w:spacing w:after="160" w:before="0" w:line="260"/>
        <w:ind w:left="720"/>
        <w:jc w:val="left"/>
      </w:pPr>
      <w:r>
        <w:rPr>
          <w:rFonts w:ascii="Consolas" w:cs="Consolas" w:eastAsia="Consolas" w:hAnsi="Consolas"/>
          <w:sz w:val="19"/>
          <w:szCs w:val="19"/>
        </w:rPr>
        <w:t xml:space="preserve">Γ ; Δ ⊢_S  x : τ_S</w:t>
      </w:r>
    </w:p>
    <w:p>
      <w:pPr>
        <w:spacing w:after="120" w:before="60" w:line="300"/>
        <w:jc w:val="both"/>
      </w:pPr>
      <w:r>
        <w:rPr>
          <w:rFonts w:ascii="Cambria" w:cs="Cambria" w:eastAsia="Cambria" w:hAnsi="Cambria"/>
          <w:sz w:val="22"/>
          <w:szCs w:val="22"/>
        </w:rPr>
        <w:t xml:space="preserve">The structural rule that the safe judgment lacks is contraction: there is no rule that allows Δ, x:τ_S, x:τ_S to appear on the left, which is what enforces use-at-most-once.</w:t>
      </w:r>
    </w:p>
    <w:p>
      <w:pPr>
        <w:spacing w:after="120" w:before="60" w:line="300"/>
        <w:jc w:val="both"/>
      </w:pPr>
      <w:r>
        <w:rPr>
          <w:rFonts w:ascii="Cambria" w:cs="Cambria" w:eastAsia="Cambria" w:hAnsi="Cambria"/>
          <w:sz w:val="22"/>
          <w:szCs w:val="22"/>
        </w:rPr>
        <w:t xml:space="preserve">Managed variable rule (with weakening and contraction admissible):</w:t>
      </w:r>
    </w:p>
    <w:p>
      <w:pPr>
        <w:spacing w:after="0" w:before="160" w:line="260"/>
        <w:ind w:left="720"/>
        <w:jc w:val="left"/>
      </w:pPr>
      <w:r>
        <w:rPr>
          <w:rFonts w:ascii="Consolas" w:cs="Consolas" w:eastAsia="Consolas" w:hAnsi="Consolas"/>
          <w:sz w:val="19"/>
          <w:szCs w:val="19"/>
        </w:rPr>
        <w:t xml:space="preserve">x : τ_M ∈ Γ</w:t>
      </w:r>
    </w:p>
    <w:p>
      <w:pPr>
        <w:spacing w:after="0" w:before="0" w:line="260"/>
        <w:ind w:left="720"/>
        <w:jc w:val="left"/>
      </w:pPr>
      <w:r>
        <w:rPr>
          <w:rFonts w:ascii="Consolas" w:cs="Consolas" w:eastAsia="Consolas" w:hAnsi="Consolas"/>
          <w:sz w:val="19"/>
          <w:szCs w:val="19"/>
        </w:rPr>
        <w:t xml:space="preserve">──────────────────────────────  (M-Var)</w:t>
      </w:r>
    </w:p>
    <w:p>
      <w:pPr>
        <w:spacing w:after="160" w:before="0" w:line="260"/>
        <w:ind w:left="720"/>
        <w:jc w:val="left"/>
      </w:pPr>
      <w:r>
        <w:rPr>
          <w:rFonts w:ascii="Consolas" w:cs="Consolas" w:eastAsia="Consolas" w:hAnsi="Consolas"/>
          <w:sz w:val="19"/>
          <w:szCs w:val="19"/>
        </w:rPr>
        <w:t xml:space="preserve">Γ ; Δ ⊢_M  x : τ_M</w:t>
      </w:r>
    </w:p>
    <w:p>
      <w:pPr>
        <w:spacing w:after="120" w:before="60" w:line="300"/>
        <w:jc w:val="both"/>
      </w:pPr>
      <w:r>
        <w:rPr>
          <w:rFonts w:ascii="Cambria" w:cs="Cambria" w:eastAsia="Cambria" w:hAnsi="Cambria"/>
          <w:sz w:val="22"/>
          <w:szCs w:val="22"/>
        </w:rPr>
        <w:t xml:space="preserve">Affine application — note the splitting of Δ into Δ_1 and Δ_2:</w:t>
      </w:r>
    </w:p>
    <w:p>
      <w:pPr>
        <w:spacing w:after="0" w:before="160" w:line="260"/>
        <w:ind w:left="720"/>
        <w:jc w:val="left"/>
      </w:pPr>
      <w:r>
        <w:rPr>
          <w:rFonts w:ascii="Consolas" w:cs="Consolas" w:eastAsia="Consolas" w:hAnsi="Consolas"/>
          <w:sz w:val="19"/>
          <w:szCs w:val="19"/>
        </w:rPr>
        <w:t xml:space="preserve">Γ ; Δ_1 ⊢_S e_1 : τ_S -⊸ τ'_S    Γ ; Δ_2 ⊢_S e_2 : τ_S</w:t>
      </w:r>
    </w:p>
    <w:p>
      <w:pPr>
        <w:spacing w:after="0" w:before="0" w:line="260"/>
        <w:ind w:left="720"/>
        <w:jc w:val="left"/>
      </w:pPr>
      <w:r>
        <w:rPr>
          <w:rFonts w:ascii="Consolas" w:cs="Consolas" w:eastAsia="Consolas" w:hAnsi="Consolas"/>
          <w:sz w:val="19"/>
          <w:szCs w:val="19"/>
        </w:rPr>
        <w:t xml:space="preserve">──────────────────────────────────────────────────────  (S-App)</w:t>
      </w:r>
    </w:p>
    <w:p>
      <w:pPr>
        <w:spacing w:after="160" w:before="0" w:line="260"/>
        <w:ind w:left="720"/>
        <w:jc w:val="left"/>
      </w:pPr>
      <w:r>
        <w:rPr>
          <w:rFonts w:ascii="Consolas" w:cs="Consolas" w:eastAsia="Consolas" w:hAnsi="Consolas"/>
          <w:sz w:val="19"/>
          <w:szCs w:val="19"/>
        </w:rPr>
        <w:t xml:space="preserve">Γ ; Δ_1, Δ_2 ⊢_S  e_1 e_2 : τ'_S</w:t>
      </w:r>
    </w:p>
    <w:p>
      <w:pPr>
        <w:spacing w:after="120" w:before="60" w:line="300"/>
        <w:jc w:val="both"/>
      </w:pPr>
      <w:r>
        <w:rPr>
          <w:rFonts w:ascii="Cambria" w:cs="Cambria" w:eastAsia="Cambria" w:hAnsi="Cambria"/>
          <w:sz w:val="22"/>
          <w:szCs w:val="22"/>
        </w:rPr>
        <w:t xml:space="preserve">The split of Δ ensures that no safe variable is used in both sub-derivations, which is the core mechanism that prevents aliasing of owned values. Γ is shared freely across the two premises because managed variables have no such restriction.</w:t>
      </w:r>
    </w:p>
    <w:p>
      <w:pPr>
        <w:spacing w:after="120" w:before="60" w:line="300"/>
        <w:jc w:val="both"/>
      </w:pPr>
      <w:r>
        <w:rPr>
          <w:rFonts w:ascii="Cambria" w:cs="Cambria" w:eastAsia="Cambria" w:hAnsi="Cambria"/>
          <w:sz w:val="22"/>
          <w:szCs w:val="22"/>
        </w:rPr>
        <w:t xml:space="preserve">The crucial boundary rule for descending from managed into safe — the safe[·] introduction:</w:t>
      </w:r>
    </w:p>
    <w:p>
      <w:pPr>
        <w:spacing w:after="0" w:before="160" w:line="260"/>
        <w:ind w:left="720"/>
        <w:jc w:val="left"/>
      </w:pPr>
      <w:r>
        <w:rPr>
          <w:rFonts w:ascii="Consolas" w:cs="Consolas" w:eastAsia="Consolas" w:hAnsi="Consolas"/>
          <w:sz w:val="19"/>
          <w:szCs w:val="19"/>
        </w:rPr>
        <w:t xml:space="preserve">Γ ; · ⊢_S e_S : τ_S</w:t>
      </w:r>
    </w:p>
    <w:p>
      <w:pPr>
        <w:spacing w:after="0" w:before="0" w:line="260"/>
        <w:ind w:left="720"/>
        <w:jc w:val="left"/>
      </w:pPr>
      <w:r>
        <w:rPr>
          <w:rFonts w:ascii="Consolas" w:cs="Consolas" w:eastAsia="Consolas" w:hAnsi="Consolas"/>
          <w:sz w:val="19"/>
          <w:szCs w:val="19"/>
        </w:rPr>
        <w:t xml:space="preserve">─────────────────────────────────  (M-SafeIntro)</w:t>
      </w:r>
    </w:p>
    <w:p>
      <w:pPr>
        <w:spacing w:after="160" w:before="0" w:line="260"/>
        <w:ind w:left="720"/>
        <w:jc w:val="left"/>
      </w:pPr>
      <w:r>
        <w:rPr>
          <w:rFonts w:ascii="Consolas" w:cs="Consolas" w:eastAsia="Consolas" w:hAnsi="Consolas"/>
          <w:sz w:val="19"/>
          <w:szCs w:val="19"/>
        </w:rPr>
        <w:t xml:space="preserve">Γ ; Δ ⊢_M  safe[ e_S ] : Safe τ_S</w:t>
      </w:r>
    </w:p>
    <w:p>
      <w:pPr>
        <w:spacing w:after="120" w:before="60" w:line="300"/>
        <w:jc w:val="both"/>
      </w:pPr>
      <w:r>
        <w:rPr>
          <w:rFonts w:ascii="Cambria" w:cs="Cambria" w:eastAsia="Cambria" w:hAnsi="Cambria"/>
          <w:sz w:val="22"/>
          <w:szCs w:val="22"/>
        </w:rPr>
        <w:t xml:space="preserve">Read this rule carefully. The premise insists that the safe sub-derivation use an empty affine context: the safe block may not consume any pre-existing safe variables. It may, however, consult Γ — managed variables are visible. The conclusion produces a value of the managed type Safe τ_S, and the surrounding managed context Δ is unaffected. This is the rule that prevents the most common dual-mode pitfall: a safe block silently consuming an outer safe resource without the type system recording the consumption.</w:t>
      </w:r>
    </w:p>
    <w:p>
      <w:pPr>
        <w:spacing w:after="120" w:before="60" w:line="300"/>
        <w:jc w:val="both"/>
      </w:pPr>
      <w:r>
        <w:rPr>
          <w:rFonts w:ascii="Cambria" w:cs="Cambria" w:eastAsia="Cambria" w:hAnsi="Cambria"/>
          <w:sz w:val="22"/>
          <w:szCs w:val="22"/>
        </w:rPr>
        <w:t xml:space="preserve">The dual rule, ascending from safe back to managed:</w:t>
      </w:r>
    </w:p>
    <w:p>
      <w:pPr>
        <w:spacing w:after="0" w:before="160" w:line="260"/>
        <w:ind w:left="720"/>
        <w:jc w:val="left"/>
      </w:pPr>
      <w:r>
        <w:rPr>
          <w:rFonts w:ascii="Consolas" w:cs="Consolas" w:eastAsia="Consolas" w:hAnsi="Consolas"/>
          <w:sz w:val="19"/>
          <w:szCs w:val="19"/>
        </w:rPr>
        <w:t xml:space="preserve">Γ ; Δ ⊢_M e_M : τ_M</w:t>
      </w:r>
    </w:p>
    <w:p>
      <w:pPr>
        <w:spacing w:after="0" w:before="0" w:line="260"/>
        <w:ind w:left="720"/>
        <w:jc w:val="left"/>
      </w:pPr>
      <w:r>
        <w:rPr>
          <w:rFonts w:ascii="Consolas" w:cs="Consolas" w:eastAsia="Consolas" w:hAnsi="Consolas"/>
          <w:sz w:val="19"/>
          <w:szCs w:val="19"/>
        </w:rPr>
        <w:t xml:space="preserve">───────────────────────────────────────  (S-ManagedIntro)</w:t>
      </w:r>
    </w:p>
    <w:p>
      <w:pPr>
        <w:spacing w:after="160" w:before="0" w:line="260"/>
        <w:ind w:left="720"/>
        <w:jc w:val="left"/>
      </w:pPr>
      <w:r>
        <w:rPr>
          <w:rFonts w:ascii="Consolas" w:cs="Consolas" w:eastAsia="Consolas" w:hAnsi="Consolas"/>
          <w:sz w:val="19"/>
          <w:szCs w:val="19"/>
        </w:rPr>
        <w:t xml:space="preserve">Γ ; Δ ⊢_S  managed[ e_M ] : Managed τ_M</w:t>
      </w:r>
    </w:p>
    <w:p>
      <w:pPr>
        <w:spacing w:after="120" w:before="60" w:line="300"/>
        <w:jc w:val="both"/>
      </w:pPr>
      <w:r>
        <w:rPr>
          <w:rFonts w:ascii="Cambria" w:cs="Cambria" w:eastAsia="Cambria" w:hAnsi="Cambria"/>
          <w:sz w:val="22"/>
          <w:szCs w:val="22"/>
        </w:rPr>
        <w:t xml:space="preserve">This rule is permissive in the opposite direction: a safe block may invoke arbitrary managed code, including code that consults the managed context Γ in non-affine ways, because the affine discipline of the safe context Δ is not threatened by anything that happens in managed evaluation. The price for this permissiveness is paid at the type level: the result is wrapped in Managed τ_M, which marks the value as having originated in non-affine territory and prevents it from being silently treated as an owned safe value.</w:t>
      </w:r>
    </w:p>
    <w:p>
      <w:pPr>
        <w:spacing w:after="120" w:before="60" w:line="300"/>
        <w:jc w:val="both"/>
      </w:pPr>
      <w:r>
        <w:rPr>
          <w:rFonts w:ascii="Cambria" w:cs="Cambria" w:eastAsia="Cambria" w:hAnsi="Cambria"/>
          <w:sz w:val="22"/>
          <w:szCs w:val="22"/>
        </w:rPr>
        <w:t xml:space="preserve">Borrow introduction in safe mode, with explicit lifetime:</w:t>
      </w:r>
    </w:p>
    <w:p>
      <w:pPr>
        <w:spacing w:after="0" w:before="160" w:line="260"/>
        <w:ind w:left="720"/>
        <w:jc w:val="left"/>
      </w:pPr>
      <w:r>
        <w:rPr>
          <w:rFonts w:ascii="Consolas" w:cs="Consolas" w:eastAsia="Consolas" w:hAnsi="Consolas"/>
          <w:sz w:val="19"/>
          <w:szCs w:val="19"/>
        </w:rPr>
        <w:t xml:space="preserve">Γ ; Δ, x:Own τ_S ⊢_S e_S : τ'_S    lifetime 'a covers e_S</w:t>
      </w:r>
    </w:p>
    <w:p>
      <w:pPr>
        <w:spacing w:after="0" w:before="0" w:line="260"/>
        <w:ind w:left="720"/>
        <w:jc w:val="left"/>
      </w:pPr>
      <w:r>
        <w:rPr>
          <w:rFonts w:ascii="Consolas" w:cs="Consolas" w:eastAsia="Consolas" w:hAnsi="Consolas"/>
          <w:sz w:val="19"/>
          <w:szCs w:val="19"/>
        </w:rPr>
        <w:t xml:space="preserve">─────────────────────────────────────────────────────────  (S-Borrow)</w:t>
      </w:r>
    </w:p>
    <w:p>
      <w:pPr>
        <w:spacing w:after="160" w:before="0" w:line="260"/>
        <w:ind w:left="720"/>
        <w:jc w:val="left"/>
      </w:pPr>
      <w:r>
        <w:rPr>
          <w:rFonts w:ascii="Consolas" w:cs="Consolas" w:eastAsia="Consolas" w:hAnsi="Consolas"/>
          <w:sz w:val="19"/>
          <w:szCs w:val="19"/>
        </w:rPr>
        <w:t xml:space="preserve">Γ ; Δ, x:Own τ_S ⊢_S  borrow x as &amp;'a τ_S in e_S : τ'_S</w:t>
      </w:r>
    </w:p>
    <w:p>
      <w:pPr>
        <w:spacing w:after="120" w:before="60" w:line="300"/>
        <w:jc w:val="both"/>
      </w:pPr>
      <w:r>
        <w:rPr>
          <w:rFonts w:ascii="Cambria" w:cs="Cambria" w:eastAsia="Cambria" w:hAnsi="Cambria"/>
          <w:sz w:val="22"/>
          <w:szCs w:val="22"/>
        </w:rPr>
        <w:t xml:space="preserve">The borrow does not consume x — that is, x is still in Δ after the borrow — but it makes a fresh shared reference of type &amp;'a τ_S available within e_S. The lifetime 'a is a bound on how long the borrow is valid. The standard borrow-checker discipline is recovered by additional rules requiring that no mutable borrow of x exists during the lifetime of any shared borrow, and vice versa.</w:t>
      </w:r>
    </w:p>
    <w:p>
      <w:pPr>
        <w:pStyle w:val="Heading2"/>
        <w:spacing w:after="140" w:before="280"/>
      </w:pPr>
      <w:r>
        <w:rPr>
          <w:rFonts w:ascii="Cambria" w:cs="Cambria" w:eastAsia="Cambria" w:hAnsi="Cambria"/>
          <w:b/>
          <w:bCs/>
          <w:sz w:val="26"/>
          <w:szCs w:val="26"/>
        </w:rPr>
        <w:t xml:space="preserve">4.2 Reduction rules at the boundary</w:t>
      </w:r>
    </w:p>
    <w:p>
      <w:pPr>
        <w:spacing w:after="120" w:before="60" w:line="300"/>
        <w:jc w:val="both"/>
      </w:pPr>
      <w:r>
        <w:rPr>
          <w:rFonts w:ascii="Cambria" w:cs="Cambria" w:eastAsia="Cambria" w:hAnsi="Cambria"/>
          <w:sz w:val="22"/>
          <w:szCs w:val="22"/>
        </w:rPr>
        <w:t xml:space="preserve">The operational rules that interpret the boundary constructors are as follows. When a managed redex of the form safe[v_S] is encountered, the value v_S is admitted into managed scope as a Safe τ_S value; in the implementation, this corresponds to wrapping the safe-mode owned value in a thin managed-side shim that carries its ownership credentials. When a safe redex of the form managed[v_M] is encountered, the value v_M is admitted into safe scope as a Managed τ_M value; in the implementation, this corresponds to incrementing the ARC count of the underlying object and binding the safe-side handle to the result.</w:t>
      </w:r>
    </w:p>
    <w:p>
      <w:pPr>
        <w:spacing w:after="120" w:before="60" w:line="300"/>
        <w:jc w:val="both"/>
      </w:pPr>
      <w:r>
        <w:rPr>
          <w:rFonts w:ascii="Cambria" w:cs="Cambria" w:eastAsia="Cambria" w:hAnsi="Cambria"/>
          <w:sz w:val="22"/>
          <w:szCs w:val="22"/>
        </w:rPr>
        <w:t xml:space="preserve">The reduction rules ensure that no value crosses the boundary without an accompanying type-level marker, and that the marker dictates which evaluation regime owns the value’s subsequent fate. This is what makes the boundary, in our intended sense, a typing surface and not a calling convention.</w:t>
      </w:r>
    </w:p>
    <w:p>
      <w:pPr>
        <w:pStyle w:val="Heading2"/>
        <w:spacing w:after="140" w:before="280"/>
      </w:pPr>
      <w:r>
        <w:rPr>
          <w:rFonts w:ascii="Cambria" w:cs="Cambria" w:eastAsia="Cambria" w:hAnsi="Cambria"/>
          <w:b/>
          <w:bCs/>
          <w:sz w:val="26"/>
          <w:szCs w:val="26"/>
        </w:rPr>
        <w:t xml:space="preserve">4.3 Why the boundary is asymmetric</w:t>
      </w:r>
    </w:p>
    <w:p>
      <w:pPr>
        <w:spacing w:after="120" w:before="60" w:line="300"/>
        <w:jc w:val="both"/>
      </w:pPr>
      <w:r>
        <w:rPr>
          <w:rFonts w:ascii="Cambria" w:cs="Cambria" w:eastAsia="Cambria" w:hAnsi="Cambria"/>
          <w:sz w:val="22"/>
          <w:szCs w:val="22"/>
        </w:rPr>
        <w:t xml:space="preserve">The reader will notice that the two crossing rules are not symmetric. M-SafeIntro requires an empty affine context; S-ManagedIntro does not impose any analogous restriction on the managed context. The asymmetry is principled: it reflects the asymmetry of the disciplines themselves.</w:t>
      </w:r>
    </w:p>
    <w:p>
      <w:pPr>
        <w:spacing w:after="120" w:before="60" w:line="300"/>
        <w:jc w:val="both"/>
      </w:pPr>
      <w:r>
        <w:rPr>
          <w:rFonts w:ascii="Cambria" w:cs="Cambria" w:eastAsia="Cambria" w:hAnsi="Cambria"/>
          <w:sz w:val="22"/>
          <w:szCs w:val="22"/>
        </w:rPr>
        <w:t xml:space="preserve">From the managed side, descending into safe mode is a commitment to a stricter discipline, and the price of the commitment is that you cannot smuggle outer affine resources into the stricter regime without first passing them through the affine type system explicitly. Hence the empty-Δ premise. From the safe side, ascending into managed mode is a relaxation, and a relaxation can be performed at any time without endangering the stricter side’s invariants. Hence no premise on Γ.</w:t>
      </w:r>
    </w:p>
    <w:p>
      <w:pPr>
        <w:spacing w:after="120" w:before="60" w:line="300"/>
        <w:jc w:val="both"/>
      </w:pPr>
      <w:r>
        <w:rPr>
          <w:rFonts w:ascii="Cambria" w:cs="Cambria" w:eastAsia="Cambria" w:hAnsi="Cambria"/>
          <w:sz w:val="22"/>
          <w:szCs w:val="22"/>
        </w:rPr>
        <w:t xml:space="preserve">This asymmetry is the formal expression of an old engineering intuition: it is easy to abandon discipline and hard to acquire it. The mode boundary should respect that asymmetry rather than fight it.</w:t>
      </w:r>
    </w:p>
    <w:p>
      <w:r>
        <w:br w:type="page"/>
      </w:r>
    </w:p>
    <w:p>
      <w:pPr>
        <w:pStyle w:val="Heading1"/>
        <w:spacing w:after="180" w:before="360"/>
      </w:pPr>
      <w:r>
        <w:rPr>
          <w:rFonts w:ascii="Cambria" w:cs="Cambria" w:eastAsia="Cambria" w:hAnsi="Cambria"/>
          <w:b/>
          <w:bCs/>
          <w:sz w:val="32"/>
          <w:szCs w:val="32"/>
        </w:rPr>
        <w:t xml:space="preserve">5. Soundness Theorems</w:t>
      </w:r>
    </w:p>
    <w:p>
      <w:pPr>
        <w:spacing w:after="120" w:before="60" w:line="300"/>
        <w:jc w:val="both"/>
      </w:pPr>
      <w:r>
        <w:rPr>
          <w:rFonts w:ascii="Cambria" w:cs="Cambria" w:eastAsia="Cambria" w:hAnsi="Cambria"/>
          <w:sz w:val="22"/>
          <w:szCs w:val="22"/>
        </w:rPr>
        <w:t xml:space="preserve">This section states the central soundness results for λ_GAR. As noted in §1.2, these are paper-style proofs in the structural-induction tradition, not mechanized proofs. A mechanization in Iris/Coq following the RustBelt template is identified as future work. The intent of stating the theorems precisely is to fix the obligations that any future mechanization must discharge and to make explicit what a Garnet implementation is bound to honor.</w:t>
      </w:r>
    </w:p>
    <w:p>
      <w:pPr>
        <w:pStyle w:val="Heading2"/>
        <w:spacing w:after="140" w:before="280"/>
      </w:pPr>
      <w:r>
        <w:rPr>
          <w:rFonts w:ascii="Cambria" w:cs="Cambria" w:eastAsia="Cambria" w:hAnsi="Cambria"/>
          <w:b/>
          <w:bCs/>
          <w:sz w:val="26"/>
          <w:szCs w:val="26"/>
        </w:rPr>
        <w:t xml:space="preserve">5.1 Progress and preservation for λ_managed</w:t>
      </w:r>
    </w:p>
    <w:p>
      <w:pPr>
        <w:spacing w:after="120" w:before="60" w:line="300"/>
        <w:jc w:val="both"/>
      </w:pPr>
      <w:r>
        <w:rPr>
          <w:rFonts w:ascii="Cambria" w:cs="Cambria" w:eastAsia="Cambria" w:hAnsi="Cambria"/>
          <w:b/>
          <w:bCs/>
          <w:sz w:val="22"/>
          <w:szCs w:val="22"/>
        </w:rPr>
        <w:t xml:space="preserve">Theorem 5.1 (Managed Progress). </w:t>
      </w:r>
      <w:r>
        <w:rPr>
          <w:rFonts w:ascii="Cambria" w:cs="Cambria" w:eastAsia="Cambria" w:hAnsi="Cambria"/>
          <w:sz w:val="22"/>
          <w:szCs w:val="22"/>
        </w:rPr>
        <w:t xml:space="preserve">If · ; · ⊢_M e_M : τ_M then either e_M is a value or there exists e'_M such that e_M ⟶_M e'_M.</w:t>
      </w:r>
    </w:p>
    <w:p>
      <w:pPr>
        <w:spacing w:after="120" w:before="60" w:line="300"/>
        <w:jc w:val="both"/>
      </w:pPr>
      <w:r>
        <w:rPr>
          <w:rFonts w:ascii="Cambria" w:cs="Cambria" w:eastAsia="Cambria" w:hAnsi="Cambria"/>
          <w:b/>
          <w:bCs/>
          <w:sz w:val="22"/>
          <w:szCs w:val="22"/>
        </w:rPr>
        <w:t xml:space="preserve">Theorem 5.2 (Managed Preservation). </w:t>
      </w:r>
      <w:r>
        <w:rPr>
          <w:rFonts w:ascii="Cambria" w:cs="Cambria" w:eastAsia="Cambria" w:hAnsi="Cambria"/>
          <w:sz w:val="22"/>
          <w:szCs w:val="22"/>
        </w:rPr>
        <w:t xml:space="preserve">If Γ ; Δ ⊢_M e_M : τ_M and e_M ⟶_M e'_M then Γ ; Δ ⊢_M e'_M : τ_M.</w:t>
      </w:r>
    </w:p>
    <w:p>
      <w:pPr>
        <w:spacing w:after="120" w:before="60" w:line="300"/>
        <w:jc w:val="both"/>
      </w:pPr>
      <w:r>
        <w:rPr>
          <w:rFonts w:ascii="Cambria" w:cs="Cambria" w:eastAsia="Cambria" w:hAnsi="Cambria"/>
          <w:sz w:val="22"/>
          <w:szCs w:val="22"/>
        </w:rPr>
        <w:t xml:space="preserve">Proofs proceed by induction on the typing derivation, with the standard cases for application, reference manipulation, and actor primitives. The non-standard cases are the boundary rules; for M-SafeIntro the relevant observation is that the safe sub-derivation is parametric in Γ, so any well-typed reduction within the safe block preserves the managed-side type Safe τ_S.</w:t>
      </w:r>
    </w:p>
    <w:p>
      <w:pPr>
        <w:pStyle w:val="Heading2"/>
        <w:spacing w:after="140" w:before="280"/>
      </w:pPr>
      <w:r>
        <w:rPr>
          <w:rFonts w:ascii="Cambria" w:cs="Cambria" w:eastAsia="Cambria" w:hAnsi="Cambria"/>
          <w:b/>
          <w:bCs/>
          <w:sz w:val="26"/>
          <w:szCs w:val="26"/>
        </w:rPr>
        <w:t xml:space="preserve">5.2 Progress and preservation for λ_safe</w:t>
      </w:r>
    </w:p>
    <w:p>
      <w:pPr>
        <w:spacing w:after="120" w:before="60" w:line="300"/>
        <w:jc w:val="both"/>
      </w:pPr>
      <w:r>
        <w:rPr>
          <w:rFonts w:ascii="Cambria" w:cs="Cambria" w:eastAsia="Cambria" w:hAnsi="Cambria"/>
          <w:b/>
          <w:bCs/>
          <w:sz w:val="22"/>
          <w:szCs w:val="22"/>
        </w:rPr>
        <w:t xml:space="preserve">Theorem 5.3 (Safe Progress). </w:t>
      </w:r>
      <w:r>
        <w:rPr>
          <w:rFonts w:ascii="Cambria" w:cs="Cambria" w:eastAsia="Cambria" w:hAnsi="Cambria"/>
          <w:sz w:val="22"/>
          <w:szCs w:val="22"/>
        </w:rPr>
        <w:t xml:space="preserve">If · ; · ⊢_S e_S : τ_S then either e_S is a value or there exists e'_S such that e_S ⟶_S e'_S.</w:t>
      </w:r>
    </w:p>
    <w:p>
      <w:pPr>
        <w:spacing w:after="120" w:before="60" w:line="300"/>
        <w:jc w:val="both"/>
      </w:pPr>
      <w:r>
        <w:rPr>
          <w:rFonts w:ascii="Cambria" w:cs="Cambria" w:eastAsia="Cambria" w:hAnsi="Cambria"/>
          <w:b/>
          <w:bCs/>
          <w:sz w:val="22"/>
          <w:szCs w:val="22"/>
        </w:rPr>
        <w:t xml:space="preserve">Theorem 5.4 (Safe Preservation). </w:t>
      </w:r>
      <w:r>
        <w:rPr>
          <w:rFonts w:ascii="Cambria" w:cs="Cambria" w:eastAsia="Cambria" w:hAnsi="Cambria"/>
          <w:sz w:val="22"/>
          <w:szCs w:val="22"/>
        </w:rPr>
        <w:t xml:space="preserve">If Γ ; Δ ⊢_S e_S : τ_S and e_S ⟶_S e'_S then Γ ; Δ' ⊢_S e'_S : τ_S, where Δ' is Δ with consumed bindings removed.</w:t>
      </w:r>
    </w:p>
    <w:p>
      <w:pPr>
        <w:spacing w:after="120" w:before="60" w:line="300"/>
        <w:jc w:val="both"/>
      </w:pPr>
      <w:r>
        <w:rPr>
          <w:rFonts w:ascii="Cambria" w:cs="Cambria" w:eastAsia="Cambria" w:hAnsi="Cambria"/>
          <w:sz w:val="22"/>
          <w:szCs w:val="22"/>
        </w:rPr>
        <w:t xml:space="preserve">Note the difference in the preservation statement: the affine context Δ may shrink during reduction, because consumed bindings are no longer in scope. This is the formal statement of “a value moved is gone” — the inability to use a moved binding in a subsequent expression is built into the preservation theorem itself rather than enforced by an auxiliary side condition.</w:t>
      </w:r>
    </w:p>
    <w:p>
      <w:pPr>
        <w:pStyle w:val="Heading2"/>
        <w:spacing w:after="140" w:before="280"/>
      </w:pPr>
      <w:r>
        <w:rPr>
          <w:rFonts w:ascii="Cambria" w:cs="Cambria" w:eastAsia="Cambria" w:hAnsi="Cambria"/>
          <w:b/>
          <w:bCs/>
          <w:sz w:val="26"/>
          <w:szCs w:val="26"/>
        </w:rPr>
        <w:t xml:space="preserve">5.3 Non-interference at the boundary</w:t>
      </w:r>
    </w:p>
    <w:p>
      <w:pPr>
        <w:spacing w:after="120" w:before="60" w:line="300"/>
        <w:jc w:val="both"/>
      </w:pPr>
      <w:r>
        <w:rPr>
          <w:rFonts w:ascii="Cambria" w:cs="Cambria" w:eastAsia="Cambria" w:hAnsi="Cambria"/>
          <w:b/>
          <w:bCs/>
          <w:sz w:val="22"/>
          <w:szCs w:val="22"/>
        </w:rPr>
        <w:t xml:space="preserve">Theorem 5.5 (Boundary Non-Interference, sketch). </w:t>
      </w:r>
      <w:r>
        <w:rPr>
          <w:rFonts w:ascii="Cambria" w:cs="Cambria" w:eastAsia="Cambria" w:hAnsi="Cambria"/>
          <w:sz w:val="22"/>
          <w:szCs w:val="22"/>
        </w:rPr>
        <w:t xml:space="preserve">Suppose Γ ; · ⊢_S e_S : τ_S is well-typed, and suppose e_S reduces under the safe operational semantics to a value v_S. Then no managed-side reference count, weak reference, or actor mailbox observable from Γ has been altered by the reduction except through explicit managed[·] subterms within e_S; and dually, the reduction of any managed[v_M] subterm respects the affine accounting of Δ at the point of the subterm.</w:t>
      </w:r>
    </w:p>
    <w:p>
      <w:pPr>
        <w:spacing w:after="120" w:before="60" w:line="300"/>
        <w:jc w:val="both"/>
      </w:pPr>
      <w:r>
        <w:rPr>
          <w:rFonts w:ascii="Cambria" w:cs="Cambria" w:eastAsia="Cambria" w:hAnsi="Cambria"/>
          <w:sz w:val="22"/>
          <w:szCs w:val="22"/>
        </w:rPr>
        <w:t xml:space="preserve">The intuition is that a safe block is, modulo its explicit managed[·] escapes, opaque to the managed world. It cannot silently mutate ARC counts or actor mailboxes; if it touches them, it does so through a managed[·] subterm whose typing rule made the touch visible. Symmetrically, a managed escape inside a safe block cannot silently violate affinity in the surrounding Δ; the affine accounting is local to the safe context, and the managed escape is wrapped in a Managed-typed handle that is treated as an opaque resource by the affine discipline.</w:t>
      </w:r>
    </w:p>
    <w:p>
      <w:pPr>
        <w:spacing w:after="120" w:before="60" w:line="300"/>
        <w:jc w:val="both"/>
      </w:pPr>
      <w:r>
        <w:rPr>
          <w:rFonts w:ascii="Cambria" w:cs="Cambria" w:eastAsia="Cambria" w:hAnsi="Cambria"/>
          <w:sz w:val="22"/>
          <w:szCs w:val="22"/>
        </w:rPr>
        <w:t xml:space="preserve">A full proof would proceed by relating the operational semantics of the two sub-calculi via a logical relation indexed over the boundary depth. We do not develop the relation here. We do note the structural property the relation must establish: that the only points at which the two operational semantics interact are the boundary constructors and that the typing rules for the boundary constructors are the only rules that mention both contexts. This is the property that makes the non-interference statement plausible without a full proof.</w:t>
      </w:r>
    </w:p>
    <w:p>
      <w:pPr>
        <w:pStyle w:val="Heading2"/>
        <w:spacing w:after="140" w:before="280"/>
      </w:pPr>
      <w:r>
        <w:rPr>
          <w:rFonts w:ascii="Cambria" w:cs="Cambria" w:eastAsia="Cambria" w:hAnsi="Cambria"/>
          <w:b/>
          <w:bCs/>
          <w:sz w:val="26"/>
          <w:szCs w:val="26"/>
        </w:rPr>
        <w:t xml:space="preserve">5.4 What the theorems do not claim</w:t>
      </w:r>
    </w:p>
    <w:p>
      <w:pPr>
        <w:spacing w:after="120" w:before="60" w:line="300"/>
        <w:jc w:val="both"/>
      </w:pPr>
      <w:r>
        <w:rPr>
          <w:rFonts w:ascii="Cambria" w:cs="Cambria" w:eastAsia="Cambria" w:hAnsi="Cambria"/>
          <w:sz w:val="22"/>
          <w:szCs w:val="22"/>
        </w:rPr>
        <w:t xml:space="preserve">Several things that one might wish to claim about λ_GAR are not claimed by the theorems above and are not within the scope of this paper:</w:t>
      </w:r>
    </w:p>
    <w:p>
      <w:pPr>
        <w:pStyle w:val="ListParagraph"/>
        <w:numPr>
          <w:ilvl w:val="0"/>
          <w:numId w:val="3"/>
        </w:numPr>
        <w:spacing w:after="40" w:before="40" w:line="280"/>
      </w:pPr>
      <w:r>
        <w:rPr>
          <w:rFonts w:ascii="Cambria" w:cs="Cambria" w:eastAsia="Cambria" w:hAnsi="Cambria"/>
          <w:sz w:val="22"/>
          <w:szCs w:val="22"/>
        </w:rPr>
        <w:t xml:space="preserve">Termination is not claimed. λ_GAR is Turing-complete; programs may diverge.</w:t>
      </w:r>
    </w:p>
    <w:p>
      <w:pPr>
        <w:pStyle w:val="ListParagraph"/>
        <w:numPr>
          <w:ilvl w:val="0"/>
          <w:numId w:val="3"/>
        </w:numPr>
        <w:spacing w:after="40" w:before="40" w:line="280"/>
      </w:pPr>
      <w:r>
        <w:rPr>
          <w:rFonts w:ascii="Cambria" w:cs="Cambria" w:eastAsia="Cambria" w:hAnsi="Cambria"/>
          <w:sz w:val="22"/>
          <w:szCs w:val="22"/>
        </w:rPr>
        <w:t xml:space="preserve">Memory leaks in the managed sub-calculus are not prevented. ARC permits cycles, and cycles are not collected. The implementation is expected to provide weak references and cycle-breaking idioms; the formal calculus does not guarantee their use.</w:t>
      </w:r>
    </w:p>
    <w:p>
      <w:pPr>
        <w:pStyle w:val="ListParagraph"/>
        <w:numPr>
          <w:ilvl w:val="0"/>
          <w:numId w:val="3"/>
        </w:numPr>
        <w:spacing w:after="40" w:before="40" w:line="280"/>
      </w:pPr>
      <w:r>
        <w:rPr>
          <w:rFonts w:ascii="Cambria" w:cs="Cambria" w:eastAsia="Cambria" w:hAnsi="Cambria"/>
          <w:sz w:val="22"/>
          <w:szCs w:val="22"/>
        </w:rPr>
        <w:t xml:space="preserve">Data races between actors are prevented in the safe sub-calculus by the session-typed channel discipline, but a managed-side actor implementation that escaped the session-typed discipline (for instance, by sharing a Ref through an out-of-band channel) is not addressed by these theorems. The mode boundary prevents this from happening silently across modes; within the managed mode, actor isolation is an engineering convention that the runtime is responsible for upholding.</w:t>
      </w:r>
    </w:p>
    <w:p>
      <w:pPr>
        <w:pStyle w:val="ListParagraph"/>
        <w:numPr>
          <w:ilvl w:val="0"/>
          <w:numId w:val="3"/>
        </w:numPr>
        <w:spacing w:after="40" w:before="40" w:line="280"/>
      </w:pPr>
      <w:r>
        <w:rPr>
          <w:rFonts w:ascii="Cambria" w:cs="Cambria" w:eastAsia="Cambria" w:hAnsi="Cambria"/>
          <w:sz w:val="22"/>
          <w:szCs w:val="22"/>
        </w:rPr>
        <w:t xml:space="preserve">The TurboQuant family of runtime optimizations — PolarQuant, QJL, and related signal-quantization schemes — make no appearance in the theorems. They are not language-core guarantees; they are runtime-layer signals. This is the eighth point of the four-model consensus and is honored throughout the paper.</w:t>
      </w:r>
    </w:p>
    <w:p>
      <w:r>
        <w:br w:type="page"/>
      </w:r>
    </w:p>
    <w:p>
      <w:pPr>
        <w:pStyle w:val="Heading1"/>
        <w:spacing w:after="180" w:before="360"/>
      </w:pPr>
      <w:r>
        <w:rPr>
          <w:rFonts w:ascii="Cambria" w:cs="Cambria" w:eastAsia="Cambria" w:hAnsi="Cambria"/>
          <w:b/>
          <w:bCs/>
          <w:sz w:val="32"/>
          <w:szCs w:val="32"/>
        </w:rPr>
        <w:t xml:space="preserve">6. RustBelt-Style Grounding</w:t>
      </w:r>
    </w:p>
    <w:p>
      <w:pPr>
        <w:spacing w:after="120" w:before="60" w:line="300"/>
        <w:jc w:val="both"/>
      </w:pPr>
      <w:r>
        <w:rPr>
          <w:rFonts w:ascii="Cambria" w:cs="Cambria" w:eastAsia="Cambria" w:hAnsi="Cambria"/>
          <w:sz w:val="22"/>
          <w:szCs w:val="22"/>
        </w:rPr>
        <w:t xml:space="preserve">Section 5 stated the soundness theorems syntactically. This section sketches what a semantic, Iris-based grounding would look like and identifies the technical obligations such a grounding would have to discharge. The goal of the section is not to carry out the semantic development — that is a multi-year project of the kind RustBelt itself was — but to make plausible that the obligations are dischargeable and to flag the points at which the dual-mode structure complicates or simplifies the standard pattern.</w:t>
      </w:r>
    </w:p>
    <w:p>
      <w:pPr>
        <w:pStyle w:val="Heading2"/>
        <w:spacing w:after="140" w:before="280"/>
      </w:pPr>
      <w:r>
        <w:rPr>
          <w:rFonts w:ascii="Cambria" w:cs="Cambria" w:eastAsia="Cambria" w:hAnsi="Cambria"/>
          <w:b/>
          <w:bCs/>
          <w:sz w:val="26"/>
          <w:szCs w:val="26"/>
        </w:rPr>
        <w:t xml:space="preserve">6.1 The Iris semantic model</w:t>
      </w:r>
    </w:p>
    <w:p>
      <w:pPr>
        <w:spacing w:after="120" w:before="60" w:line="300"/>
        <w:jc w:val="both"/>
      </w:pPr>
      <w:r>
        <w:rPr>
          <w:rFonts w:ascii="Cambria" w:cs="Cambria" w:eastAsia="Cambria" w:hAnsi="Cambria"/>
          <w:sz w:val="22"/>
          <w:szCs w:val="22"/>
        </w:rPr>
        <w:t xml:space="preserve">Iris is a higher-order concurrent separation logic embedded in Coq. The relevant features for our purposes are: the points-to assertion ℓ ↦ v, which describes an atomic ownership claim on a memory location; the fractional-permissions extension, which allows shared read access; the invariant mechanism, which lets us assert facts about the heap that are stable across concurrent operations; and the higher-order ghost state mechanism, which lets us define custom resource algebras for the discipline a particular language imposes.</w:t>
      </w:r>
    </w:p>
    <w:p>
      <w:pPr>
        <w:spacing w:after="120" w:before="60" w:line="300"/>
        <w:jc w:val="both"/>
      </w:pPr>
      <w:r>
        <w:rPr>
          <w:rFonts w:ascii="Cambria" w:cs="Cambria" w:eastAsia="Cambria" w:hAnsi="Cambria"/>
          <w:sz w:val="22"/>
          <w:szCs w:val="22"/>
        </w:rPr>
        <w:t xml:space="preserve">RustBelt uses these features to define a logical relation that interprets each Rust type as a predicate over Iris resources. The unique-ownership type Box&lt;T&gt; is interpreted as a points-to assertion plus the recursive interpretation of T; the shared-borrow type &amp;'a T is interpreted as a fractional points-to assertion guarded by an invariant tied to the lifetime 'a; and so on. Library code with internal unsafe blocks is verified by showing that, although it does not satisfy the syntactic typing discipline, it does satisfy the semantic interpretation of its type — that is, the predicate that the type denotes.</w:t>
      </w:r>
    </w:p>
    <w:p>
      <w:pPr>
        <w:pStyle w:val="Heading2"/>
        <w:spacing w:after="140" w:before="280"/>
      </w:pPr>
      <w:r>
        <w:rPr>
          <w:rFonts w:ascii="Cambria" w:cs="Cambria" w:eastAsia="Cambria" w:hAnsi="Cambria"/>
          <w:b/>
          <w:bCs/>
          <w:sz w:val="26"/>
          <w:szCs w:val="26"/>
        </w:rPr>
        <w:t xml:space="preserve">6.2 Adapting the RustBelt template to λ_GAR</w:t>
      </w:r>
    </w:p>
    <w:p>
      <w:pPr>
        <w:spacing w:after="120" w:before="60" w:line="300"/>
        <w:jc w:val="both"/>
      </w:pPr>
      <w:r>
        <w:rPr>
          <w:rFonts w:ascii="Cambria" w:cs="Cambria" w:eastAsia="Cambria" w:hAnsi="Cambria"/>
          <w:sz w:val="22"/>
          <w:szCs w:val="22"/>
        </w:rPr>
        <w:t xml:space="preserve">To ground λ_GAR semantically, we would define two logical relations, one for each sub-calculus, sharing the same underlying Iris resources. The interpretation of safe-side types would follow the RustBelt template directly: Own τ_S as an exclusive points-to plus the interpretation of τ_S, &amp;'a τ_S as a fractional points-to guarded by a lifetime invariant, and so on.</w:t>
      </w:r>
    </w:p>
    <w:p>
      <w:pPr>
        <w:spacing w:after="120" w:before="60" w:line="300"/>
        <w:jc w:val="both"/>
      </w:pPr>
      <w:r>
        <w:rPr>
          <w:rFonts w:ascii="Cambria" w:cs="Cambria" w:eastAsia="Cambria" w:hAnsi="Cambria"/>
          <w:sz w:val="22"/>
          <w:szCs w:val="22"/>
        </w:rPr>
        <w:t xml:space="preserve">The interpretation of managed-side types would be simpler in the sequential reading and more delicate in the concurrent reading. A managed reference Ref τ_M would be interpreted as a points-to assertion guarded by an invariant that tracks the ARC count and the deinitialization condition. The challenge is that the invariant must be stable under concurrent retain and release, which requires a custom resource algebra for ARC counts. This algebra is well known in the Iris literature; we do not develop it here but point to the existing work on counting-permissions resource algebras.</w:t>
      </w:r>
    </w:p>
    <w:p>
      <w:pPr>
        <w:spacing w:after="120" w:before="60" w:line="300"/>
        <w:jc w:val="both"/>
      </w:pPr>
      <w:r>
        <w:rPr>
          <w:rFonts w:ascii="Cambria" w:cs="Cambria" w:eastAsia="Cambria" w:hAnsi="Cambria"/>
          <w:sz w:val="22"/>
          <w:szCs w:val="22"/>
        </w:rPr>
        <w:t xml:space="preserve">The crucial new ingredient is the interpretation of the boundary types Safe τ_S and Managed τ_M. We propose the following:</w:t>
      </w:r>
    </w:p>
    <w:p>
      <w:pPr>
        <w:pStyle w:val="ListParagraph"/>
        <w:numPr>
          <w:ilvl w:val="0"/>
          <w:numId w:val="3"/>
        </w:numPr>
        <w:spacing w:after="40" w:before="40" w:line="280"/>
      </w:pPr>
      <w:r>
        <w:rPr>
          <w:rFonts w:ascii="Cambria" w:cs="Cambria" w:eastAsia="Cambria" w:hAnsi="Cambria"/>
          <w:sz w:val="22"/>
          <w:szCs w:val="22"/>
        </w:rPr>
        <w:t xml:space="preserve">Safe τ_S, as seen from the managed world, is interpreted as the persistent Iris assertion that there exists an owned safe resource of type τ_S whose ownership has been wrapped in a managed-side shim. The persistence comes from the empty-Δ premise of M-SafeIntro: because the safe block cannot consume outer safe resources, the resulting Safe τ_S handle does not encumber the surrounding affine accounting and may be freely duplicated on the managed side.</w:t>
      </w:r>
    </w:p>
    <w:p>
      <w:pPr>
        <w:pStyle w:val="ListParagraph"/>
        <w:numPr>
          <w:ilvl w:val="0"/>
          <w:numId w:val="3"/>
        </w:numPr>
        <w:spacing w:after="40" w:before="40" w:line="280"/>
      </w:pPr>
      <w:r>
        <w:rPr>
          <w:rFonts w:ascii="Cambria" w:cs="Cambria" w:eastAsia="Cambria" w:hAnsi="Cambria"/>
          <w:sz w:val="22"/>
          <w:szCs w:val="22"/>
        </w:rPr>
        <w:t xml:space="preserve">Managed τ_M, as seen from the safe world, is interpreted as an opaque Iris resource that the affine discipline treats as exactly one unit. The opacity is the formal expression of the fact that the safe sub-calculus does not look inside managed values; it knows only that it has a handle, that the handle counts as one affine resource, and that operating on the handle requires returning to the managed evaluation regime.</w:t>
      </w:r>
    </w:p>
    <w:p>
      <w:pPr>
        <w:pStyle w:val="Heading2"/>
        <w:spacing w:after="140" w:before="280"/>
      </w:pPr>
      <w:r>
        <w:rPr>
          <w:rFonts w:ascii="Cambria" w:cs="Cambria" w:eastAsia="Cambria" w:hAnsi="Cambria"/>
          <w:b/>
          <w:bCs/>
          <w:sz w:val="26"/>
          <w:szCs w:val="26"/>
        </w:rPr>
        <w:t xml:space="preserve">6.3 Boundary preservation in the semantic model</w:t>
      </w:r>
    </w:p>
    <w:p>
      <w:pPr>
        <w:spacing w:after="120" w:before="60" w:line="300"/>
        <w:jc w:val="both"/>
      </w:pPr>
      <w:r>
        <w:rPr>
          <w:rFonts w:ascii="Cambria" w:cs="Cambria" w:eastAsia="Cambria" w:hAnsi="Cambria"/>
          <w:sz w:val="22"/>
          <w:szCs w:val="22"/>
        </w:rPr>
        <w:t xml:space="preserve">The non-interference statement of Theorem 5.5 has a clean restatement in the semantic model: a safe-mode reduction respects the Iris frame rule with respect to the managed-side resources it does not explicitly mention through managed[·], and dually for managed-mode reductions and the safe-side resources they do not mention through safe[·]. The frame rule, in its standard separation-logic form, says that if a program executes correctly given some resources, it also executes correctly in the presence of additional disjoint resources that it does not touch. The non-interference theorem is the assertion that the two sub-calculi participate in the frame rule of a shared Iris model — that is, that they are not silently entangled in ways the frame rule would forbid.</w:t>
      </w:r>
    </w:p>
    <w:p>
      <w:pPr>
        <w:pStyle w:val="Heading2"/>
        <w:spacing w:after="140" w:before="280"/>
      </w:pPr>
      <w:r>
        <w:rPr>
          <w:rFonts w:ascii="Cambria" w:cs="Cambria" w:eastAsia="Cambria" w:hAnsi="Cambria"/>
          <w:b/>
          <w:bCs/>
          <w:sz w:val="26"/>
          <w:szCs w:val="26"/>
        </w:rPr>
        <w:t xml:space="preserve">6.4 Mechanization status and roadmap</w:t>
      </w:r>
    </w:p>
    <w:p>
      <w:pPr>
        <w:spacing w:after="120" w:before="60" w:line="300"/>
        <w:jc w:val="both"/>
      </w:pPr>
      <w:r>
        <w:rPr>
          <w:rFonts w:ascii="Cambria" w:cs="Cambria" w:eastAsia="Cambria" w:hAnsi="Cambria"/>
          <w:sz w:val="22"/>
          <w:szCs w:val="22"/>
        </w:rPr>
        <w:t xml:space="preserve">No mechanized proof of any portion of λ_GAR yet exists. Constructing one is identified as the natural follow-on to this paper and would proceed in three phases. Phase one: mechanize λ_safe alone, following the RustBelt template, against an Iris model that supplies the affine resource discipline and lifetime tracking. Phase two: mechanize λ_managed against an Iris model with ARC counts, weak references, and an actor mailbox abstraction. Phase three: mechanize the boundary rules and prove non-interference. Each phase builds on existing Iris infrastructure and does not require novel logical machinery; the work is in the careful definition of the type interpretations and in the case analysis for the boundary rules.</w:t>
      </w:r>
    </w:p>
    <w:p>
      <w:pPr>
        <w:spacing w:after="120" w:before="60" w:line="300"/>
        <w:jc w:val="both"/>
      </w:pPr>
      <w:r>
        <w:rPr>
          <w:rFonts w:ascii="Cambria" w:cs="Cambria" w:eastAsia="Cambria" w:hAnsi="Cambria"/>
          <w:sz w:val="22"/>
          <w:szCs w:val="22"/>
        </w:rPr>
        <w:t xml:space="preserve">We estimate the mechanization at 18–30 person-months for an experienced Iris user, comparable to the original RustBelt effort but smaller in scope because λ_GAR’s safe sub-calculus deliberately omits some of Rust’s most challenging features (notably, the full lifetime inference algorithm and the nested-reference subtyping). The omissions are not concessions; they are simplifications that the dual-mode design makes available, because programs that need the full Rust feature set are expected to live in λ_safe regions of small extent surrounded by λ_managed code that supplies the ergonomic surface.</w:t>
      </w:r>
    </w:p>
    <w:p>
      <w:r>
        <w:br w:type="page"/>
      </w:r>
    </w:p>
    <w:p>
      <w:pPr>
        <w:pStyle w:val="Heading1"/>
        <w:spacing w:after="180" w:before="360"/>
      </w:pPr>
      <w:r>
        <w:rPr>
          <w:rFonts w:ascii="Cambria" w:cs="Cambria" w:eastAsia="Cambria" w:hAnsi="Cambria"/>
          <w:b/>
          <w:bCs/>
          <w:sz w:val="32"/>
          <w:szCs w:val="32"/>
        </w:rPr>
        <w:t xml:space="preserve">7. Memory Primitives as Typed Resources</w:t>
      </w:r>
    </w:p>
    <w:p>
      <w:pPr>
        <w:spacing w:after="120" w:before="60" w:line="300"/>
        <w:jc w:val="both"/>
      </w:pPr>
      <w:r>
        <w:rPr>
          <w:rFonts w:ascii="Cambria" w:cs="Cambria" w:eastAsia="Cambria" w:hAnsi="Cambria"/>
          <w:sz w:val="22"/>
          <w:szCs w:val="22"/>
        </w:rPr>
        <w:t xml:space="preserve">This section turns from the formal core to one of Garnet’s most distinctive design commitments: the elevation of memory primitives — working, episodic, semantic, and procedural — from library constructs into language-core typed resources. The commitment is motivated by the contemporary literature on agentic systems, in which the failure modes of long-running language-model loops are dominated by memory mismanagement: context windows that overflow, episodic histories that are not summarized in time, semantic stores that drift, and procedural caches that are reused under inappropriate conditions. The thesis of this section is that these failure modes are, at root, type errors — and that the affine substrate of λ_safe gives us the apparatus to make them so.</w:t>
      </w:r>
    </w:p>
    <w:p>
      <w:pPr>
        <w:pStyle w:val="Heading2"/>
        <w:spacing w:after="140" w:before="280"/>
      </w:pPr>
      <w:r>
        <w:rPr>
          <w:rFonts w:ascii="Cambria" w:cs="Cambria" w:eastAsia="Cambria" w:hAnsi="Cambria"/>
          <w:b/>
          <w:bCs/>
          <w:sz w:val="26"/>
          <w:szCs w:val="26"/>
        </w:rPr>
        <w:t xml:space="preserve">7.1 The four memory kinds</w:t>
      </w:r>
    </w:p>
    <w:p>
      <w:pPr>
        <w:spacing w:after="120" w:before="60" w:line="300"/>
        <w:jc w:val="both"/>
      </w:pPr>
      <w:r>
        <w:rPr>
          <w:rFonts w:ascii="Cambria" w:cs="Cambria" w:eastAsia="Cambria" w:hAnsi="Cambria"/>
          <w:sz w:val="22"/>
          <w:szCs w:val="22"/>
        </w:rPr>
        <w:t xml:space="preserve">We adopt the four-way taxonomy that has emerged from the agentic-systems literature and is by now standard:</w:t>
      </w:r>
    </w:p>
    <w:p>
      <w:pPr>
        <w:pStyle w:val="ListParagraph"/>
        <w:numPr>
          <w:ilvl w:val="0"/>
          <w:numId w:val="3"/>
        </w:numPr>
        <w:spacing w:after="40" w:before="40" w:line="280"/>
      </w:pPr>
      <w:r>
        <w:rPr>
          <w:rFonts w:ascii="Cambria" w:cs="Cambria" w:eastAsia="Cambria" w:hAnsi="Cambria"/>
          <w:b/>
          <w:bCs/>
          <w:sz w:val="22"/>
          <w:szCs w:val="22"/>
        </w:rPr>
        <w:t xml:space="preserve">Working memory </w:t>
      </w:r>
      <w:r>
        <w:rPr>
          <w:rFonts w:ascii="Cambria" w:cs="Cambria" w:eastAsia="Cambria" w:hAnsi="Cambria"/>
          <w:sz w:val="22"/>
          <w:szCs w:val="22"/>
        </w:rPr>
        <w:t xml:space="preserve">is the ephemeral, short-lived state of an in-flight computation. In the language-model setting it corresponds to the active context window or the semantic cache associated with a current request. Its characteristic invariant is that it is bounded in size and short in lifetime.</w:t>
      </w:r>
    </w:p>
    <w:p>
      <w:pPr>
        <w:pStyle w:val="ListParagraph"/>
        <w:numPr>
          <w:ilvl w:val="0"/>
          <w:numId w:val="3"/>
        </w:numPr>
        <w:spacing w:after="40" w:before="40" w:line="280"/>
      </w:pPr>
      <w:r>
        <w:rPr>
          <w:rFonts w:ascii="Cambria" w:cs="Cambria" w:eastAsia="Cambria" w:hAnsi="Cambria"/>
          <w:b/>
          <w:bCs/>
          <w:sz w:val="22"/>
          <w:szCs w:val="22"/>
        </w:rPr>
        <w:t xml:space="preserve">Episodic memory </w:t>
      </w:r>
      <w:r>
        <w:rPr>
          <w:rFonts w:ascii="Cambria" w:cs="Cambria" w:eastAsia="Cambria" w:hAnsi="Cambria"/>
          <w:sz w:val="22"/>
          <w:szCs w:val="22"/>
        </w:rPr>
        <w:t xml:space="preserve">is the timestamped history of past interactions: conversation turns, tool invocations, observed events. Its characteristic invariant is that it grows monotonically, may be summarized but not silently forgotten, and is queried by recency.</w:t>
      </w:r>
    </w:p>
    <w:p>
      <w:pPr>
        <w:pStyle w:val="ListParagraph"/>
        <w:numPr>
          <w:ilvl w:val="0"/>
          <w:numId w:val="3"/>
        </w:numPr>
        <w:spacing w:after="40" w:before="40" w:line="280"/>
      </w:pPr>
      <w:r>
        <w:rPr>
          <w:rFonts w:ascii="Cambria" w:cs="Cambria" w:eastAsia="Cambria" w:hAnsi="Cambria"/>
          <w:b/>
          <w:bCs/>
          <w:sz w:val="22"/>
          <w:szCs w:val="22"/>
        </w:rPr>
        <w:t xml:space="preserve">Semantic memory </w:t>
      </w:r>
      <w:r>
        <w:rPr>
          <w:rFonts w:ascii="Cambria" w:cs="Cambria" w:eastAsia="Cambria" w:hAnsi="Cambria"/>
          <w:sz w:val="22"/>
          <w:szCs w:val="22"/>
        </w:rPr>
        <w:t xml:space="preserve">is the externalized knowledge base: facts, entities, relationships, reusable concepts. Its characteristic invariant is that it is shared across sessions, must support concept-level retrieval, and is the layer at which knowledge drift becomes a concern.</w:t>
      </w:r>
    </w:p>
    <w:p>
      <w:pPr>
        <w:pStyle w:val="ListParagraph"/>
        <w:numPr>
          <w:ilvl w:val="0"/>
          <w:numId w:val="3"/>
        </w:numPr>
        <w:spacing w:after="40" w:before="40" w:line="280"/>
      </w:pPr>
      <w:r>
        <w:rPr>
          <w:rFonts w:ascii="Cambria" w:cs="Cambria" w:eastAsia="Cambria" w:hAnsi="Cambria"/>
          <w:b/>
          <w:bCs/>
          <w:sz w:val="22"/>
          <w:szCs w:val="22"/>
        </w:rPr>
        <w:t xml:space="preserve">Procedural memory </w:t>
      </w:r>
      <w:r>
        <w:rPr>
          <w:rFonts w:ascii="Cambria" w:cs="Cambria" w:eastAsia="Cambria" w:hAnsi="Cambria"/>
          <w:sz w:val="22"/>
          <w:szCs w:val="22"/>
        </w:rPr>
        <w:t xml:space="preserve">is the cache of reusable routines: tool schemas, skill boxes, workflow traces. Its characteristic invariant is that it is keyed by task signature, reused under conditions of structural similarity, and must be invalidated when the underlying tools change.</w:t>
      </w:r>
    </w:p>
    <w:p>
      <w:pPr>
        <w:spacing w:after="120" w:before="60" w:line="300"/>
        <w:jc w:val="both"/>
      </w:pPr>
      <w:r>
        <w:rPr>
          <w:rFonts w:ascii="Cambria" w:cs="Cambria" w:eastAsia="Cambria" w:hAnsi="Cambria"/>
          <w:sz w:val="22"/>
          <w:szCs w:val="22"/>
        </w:rPr>
        <w:t xml:space="preserve">Each of these four kinds has a characteristic lifecycle, a characteristic access pattern, and a characteristic class of failures. The Garnet design takes the position that a language whose use cases include agentic loops should make these kinds first-class — that is, should include them in the type system, should give the compiler enough information to enforce their invariants, and should not relegate them to a library where the type system cannot see them.</w:t>
      </w:r>
    </w:p>
    <w:p>
      <w:pPr>
        <w:pStyle w:val="Heading2"/>
        <w:spacing w:after="140" w:before="280"/>
      </w:pPr>
      <w:r>
        <w:rPr>
          <w:rFonts w:ascii="Cambria" w:cs="Cambria" w:eastAsia="Cambria" w:hAnsi="Cambria"/>
          <w:b/>
          <w:bCs/>
          <w:sz w:val="26"/>
          <w:szCs w:val="26"/>
        </w:rPr>
        <w:t xml:space="preserve">7.2 Memory cells as affine resources</w:t>
      </w:r>
    </w:p>
    <w:p>
      <w:pPr>
        <w:spacing w:after="120" w:before="60" w:line="300"/>
        <w:jc w:val="both"/>
      </w:pPr>
      <w:r>
        <w:rPr>
          <w:rFonts w:ascii="Cambria" w:cs="Cambria" w:eastAsia="Cambria" w:hAnsi="Cambria"/>
          <w:sz w:val="22"/>
          <w:szCs w:val="22"/>
        </w:rPr>
        <w:t xml:space="preserve">In λ_GAR the memory primitive is the typed cell Mem&lt;κ&gt; τ where κ is one of the four kinds and τ is the type of the contents. A cell is an affine resource on the safe side and a refcounted resource on the managed side; the choice is determined by which sub-calculus introduces the cell, and the boundary rules govern crossings as for any other type.</w:t>
      </w:r>
    </w:p>
    <w:p>
      <w:pPr>
        <w:spacing w:after="120" w:before="60" w:line="300"/>
        <w:jc w:val="both"/>
      </w:pPr>
      <w:r>
        <w:rPr>
          <w:rFonts w:ascii="Cambria" w:cs="Cambria" w:eastAsia="Cambria" w:hAnsi="Cambria"/>
          <w:sz w:val="22"/>
          <w:szCs w:val="22"/>
        </w:rPr>
        <w:t xml:space="preserve">The affine reading on the safe side is what gives us the static guarantee that working memory is not aliased across contexts that should not share it, that episodic memory is summarized through an explicit consumption (the summarize call moves the episodic cell into a derived semantic cell, with the original no longer accessible), that semantic memory updates are linearized, and that procedural memory invalidation is a type-level event rather than a runtime convention.</w:t>
      </w:r>
    </w:p>
    <w:p>
      <w:pPr>
        <w:spacing w:after="120" w:before="60" w:line="300"/>
        <w:jc w:val="both"/>
      </w:pPr>
      <w:r>
        <w:rPr>
          <w:rFonts w:ascii="Cambria" w:cs="Cambria" w:eastAsia="Cambria" w:hAnsi="Cambria"/>
          <w:sz w:val="22"/>
          <w:szCs w:val="22"/>
        </w:rPr>
        <w:t xml:space="preserve">The managed reading on the managed side is what gives us the comfort: a Ruby-like surface in which working memory feels like a hash and episodic memory feels like an ordered log, with the safe-mode discipline available as an opt-in for the contexts in which it matters.</w:t>
      </w:r>
    </w:p>
    <w:p>
      <w:pPr>
        <w:pStyle w:val="Heading2"/>
        <w:spacing w:after="140" w:before="280"/>
      </w:pPr>
      <w:r>
        <w:rPr>
          <w:rFonts w:ascii="Cambria" w:cs="Cambria" w:eastAsia="Cambria" w:hAnsi="Cambria"/>
          <w:b/>
          <w:bCs/>
          <w:sz w:val="26"/>
          <w:szCs w:val="26"/>
        </w:rPr>
        <w:t xml:space="preserve">7.3 The Relevance + Recency + Importance decay function</w:t>
      </w:r>
    </w:p>
    <w:p>
      <w:pPr>
        <w:spacing w:after="120" w:before="60" w:line="300"/>
        <w:jc w:val="both"/>
      </w:pPr>
      <w:r>
        <w:rPr>
          <w:rFonts w:ascii="Cambria" w:cs="Cambria" w:eastAsia="Cambria" w:hAnsi="Cambria"/>
          <w:sz w:val="22"/>
          <w:szCs w:val="22"/>
        </w:rPr>
        <w:t xml:space="preserve">The Garnet design notes (specifically OQ-7) propose a salience function for memory cells of the form:</w:t>
      </w:r>
    </w:p>
    <w:p>
      <w:pPr>
        <w:pBdr>
          <w:left w:val="single" w:color="9B1B30" w:sz="12" w:space="8"/>
        </w:pBdr>
        <w:spacing w:after="0" w:before="120" w:line="260"/>
        <w:ind w:left="360"/>
      </w:pPr>
      <w:r>
        <w:rPr>
          <w:rFonts w:ascii="Consolas" w:cs="Consolas" w:eastAsia="Consolas" w:hAnsi="Consolas"/>
          <w:sz w:val="19"/>
          <w:szCs w:val="19"/>
        </w:rPr>
        <w:t xml:space="preserve">salience(c, t) = α · Relevance(c, query(t))</w:t>
      </w:r>
    </w:p>
    <w:p>
      <w:pPr>
        <w:pBdr>
          <w:left w:val="single" w:color="9B1B30" w:sz="12" w:space="8"/>
        </w:pBdr>
        <w:spacing w:after="0" w:before="0" w:line="260"/>
        <w:ind w:left="360"/>
      </w:pPr>
      <w:r>
        <w:rPr>
          <w:rFonts w:ascii="Consolas" w:cs="Consolas" w:eastAsia="Consolas" w:hAnsi="Consolas"/>
          <w:sz w:val="19"/>
          <w:szCs w:val="19"/>
        </w:rPr>
        <w:t xml:space="preserve">                + β · Recency(c, t)</w:t>
      </w:r>
    </w:p>
    <w:p>
      <w:pPr>
        <w:pBdr>
          <w:left w:val="single" w:color="9B1B30" w:sz="12" w:space="8"/>
        </w:pBdr>
        <w:spacing w:after="0" w:before="0" w:line="260"/>
        <w:ind w:left="360"/>
      </w:pPr>
      <w:r>
        <w:rPr>
          <w:rFonts w:ascii="Consolas" w:cs="Consolas" w:eastAsia="Consolas" w:hAnsi="Consolas"/>
          <w:sz w:val="19"/>
          <w:szCs w:val="19"/>
        </w:rPr>
        <w:t xml:space="preserve">                + γ · Importance(c)</w:t>
      </w:r>
    </w:p>
    <w:p>
      <w:pPr>
        <w:pBdr>
          <w:left w:val="single" w:color="9B1B30" w:sz="12" w:space="8"/>
        </w:pBdr>
        <w:spacing w:after="0" w:before="0" w:line="260"/>
        <w:ind w:left="360"/>
      </w:pPr>
      <w:r>
        <w:rPr>
          <w:rFonts w:ascii="Consolas" w:cs="Consolas" w:eastAsia="Consolas" w:hAnsi="Consolas"/>
          <w:sz w:val="19"/>
          <w:szCs w:val="19"/>
        </w:rPr>
        <w:t xml:space="preserve"> </w:t>
      </w:r>
    </w:p>
    <w:p>
      <w:pPr>
        <w:pBdr>
          <w:left w:val="single" w:color="9B1B30" w:sz="12" w:space="8"/>
        </w:pBdr>
        <w:spacing w:after="0" w:before="0" w:line="260"/>
        <w:ind w:left="360"/>
      </w:pPr>
      <w:r>
        <w:rPr>
          <w:rFonts w:ascii="Consolas" w:cs="Consolas" w:eastAsia="Consolas" w:hAnsi="Consolas"/>
          <w:sz w:val="19"/>
          <w:szCs w:val="19"/>
        </w:rPr>
        <w:t xml:space="preserve">where  Relevance ∈ [0, 1] measures semantic match,</w:t>
      </w:r>
    </w:p>
    <w:p>
      <w:pPr>
        <w:pBdr>
          <w:left w:val="single" w:color="9B1B30" w:sz="12" w:space="8"/>
        </w:pBdr>
        <w:spacing w:after="0" w:before="0" w:line="260"/>
        <w:ind w:left="360"/>
      </w:pPr>
      <w:r>
        <w:rPr>
          <w:rFonts w:ascii="Consolas" w:cs="Consolas" w:eastAsia="Consolas" w:hAnsi="Consolas"/>
          <w:sz w:val="19"/>
          <w:szCs w:val="19"/>
        </w:rPr>
        <w:t xml:space="preserve">       Recency   ∈ [0, 1] is exp(-λ · (t - last_access(c))),</w:t>
      </w:r>
    </w:p>
    <w:p>
      <w:pPr>
        <w:pBdr>
          <w:left w:val="single" w:color="9B1B30" w:sz="12" w:space="8"/>
        </w:pBdr>
        <w:spacing w:after="0" w:before="0" w:line="260"/>
        <w:ind w:left="360"/>
      </w:pPr>
      <w:r>
        <w:rPr>
          <w:rFonts w:ascii="Consolas" w:cs="Consolas" w:eastAsia="Consolas" w:hAnsi="Consolas"/>
          <w:sz w:val="19"/>
          <w:szCs w:val="19"/>
        </w:rPr>
        <w:t xml:space="preserve">       Importance∈ [0, 1] is a per-cell weight set at write,</w:t>
      </w:r>
    </w:p>
    <w:p>
      <w:pPr>
        <w:pBdr>
          <w:left w:val="single" w:color="9B1B30" w:sz="12" w:space="8"/>
        </w:pBdr>
        <w:spacing w:after="160" w:before="0" w:line="260"/>
        <w:ind w:left="360"/>
      </w:pPr>
      <w:r>
        <w:rPr>
          <w:rFonts w:ascii="Consolas" w:cs="Consolas" w:eastAsia="Consolas" w:hAnsi="Consolas"/>
          <w:sz w:val="19"/>
          <w:szCs w:val="19"/>
        </w:rPr>
        <w:t xml:space="preserve">       α + β + γ = 1, all non-negative.</w:t>
      </w:r>
    </w:p>
    <w:p>
      <w:pPr>
        <w:spacing w:after="120" w:before="60" w:line="300"/>
        <w:jc w:val="both"/>
      </w:pPr>
      <w:r>
        <w:rPr>
          <w:rFonts w:ascii="Cambria" w:cs="Cambria" w:eastAsia="Cambria" w:hAnsi="Cambria"/>
          <w:sz w:val="22"/>
          <w:szCs w:val="22"/>
        </w:rPr>
        <w:t xml:space="preserve">In a library implementation this would be a runtime function consulted by a memory manager. In Garnet we take the more aggressive position that the salience function is part of the type-level metadata of a memory cell — specifically, that the kind κ determines the default coefficients (α, β, γ) and that the per-cell Importance is written at allocation and is accessible at the type level for compile-time pruning of clearly-irrelevant cells.</w:t>
      </w:r>
    </w:p>
    <w:p>
      <w:pPr>
        <w:spacing w:after="120" w:before="60" w:line="300"/>
        <w:jc w:val="both"/>
      </w:pPr>
      <w:r>
        <w:rPr>
          <w:rFonts w:ascii="Cambria" w:cs="Cambria" w:eastAsia="Cambria" w:hAnsi="Cambria"/>
          <w:sz w:val="22"/>
          <w:szCs w:val="22"/>
        </w:rPr>
        <w:t xml:space="preserve">The affine reading interacts with the salience function in a satisfying way. A cell whose salience drops below a kind-specific threshold is, by the type system’s lights, a candidate for dropping — the affine discipline already permits silent dropping of values that are not consumed, and the salience function tells the runtime which cells are most appropriate to drop first when capacity pressure forces a choice. The combination is what we mean by saying memory primitives are typed resources subject to decay: the type system supplies the discipline of what may be dropped, and the salience function supplies the policy for which to drop first.</w:t>
      </w:r>
    </w:p>
    <w:p>
      <w:pPr>
        <w:pStyle w:val="Heading2"/>
        <w:spacing w:after="140" w:before="280"/>
      </w:pPr>
      <w:r>
        <w:rPr>
          <w:rFonts w:ascii="Cambria" w:cs="Cambria" w:eastAsia="Cambria" w:hAnsi="Cambria"/>
          <w:b/>
          <w:bCs/>
          <w:sz w:val="26"/>
          <w:szCs w:val="26"/>
        </w:rPr>
        <w:t xml:space="preserve">7.4 What the type system enforces</w:t>
      </w:r>
    </w:p>
    <w:p>
      <w:pPr>
        <w:spacing w:after="120" w:before="60" w:line="300"/>
        <w:jc w:val="both"/>
      </w:pPr>
      <w:r>
        <w:rPr>
          <w:rFonts w:ascii="Cambria" w:cs="Cambria" w:eastAsia="Cambria" w:hAnsi="Cambria"/>
          <w:sz w:val="22"/>
          <w:szCs w:val="22"/>
        </w:rPr>
        <w:t xml:space="preserve">Concretely, Garnet’s memory typing supplies the following compile-time guarantees:</w:t>
      </w:r>
    </w:p>
    <w:p>
      <w:pPr>
        <w:pStyle w:val="ListParagraph"/>
        <w:numPr>
          <w:ilvl w:val="0"/>
          <w:numId w:val="2"/>
        </w:numPr>
        <w:spacing w:after="40" w:before="40" w:line="280"/>
      </w:pPr>
      <w:r>
        <w:rPr>
          <w:rFonts w:ascii="Cambria" w:cs="Cambria" w:eastAsia="Cambria" w:hAnsi="Cambria"/>
          <w:sz w:val="22"/>
          <w:szCs w:val="22"/>
        </w:rPr>
        <w:t xml:space="preserve">Working memory cells cannot outlive the request they were allocated within. A working cell of kind working has a lifetime bounded by the surrounding request scope; attempting to return it from the request, or to store it in an episodic or semantic cell, is a type error.</w:t>
      </w:r>
    </w:p>
    <w:p>
      <w:pPr>
        <w:pStyle w:val="ListParagraph"/>
        <w:numPr>
          <w:ilvl w:val="0"/>
          <w:numId w:val="2"/>
        </w:numPr>
        <w:spacing w:after="40" w:before="40" w:line="280"/>
      </w:pPr>
      <w:r>
        <w:rPr>
          <w:rFonts w:ascii="Cambria" w:cs="Cambria" w:eastAsia="Cambria" w:hAnsi="Cambria"/>
          <w:sz w:val="22"/>
          <w:szCs w:val="22"/>
        </w:rPr>
        <w:t xml:space="preserve">Episodic memory cannot be silently lost. The only way for an episodic cell to leave scope without summarization is through an explicit drop, which the affine discipline tracks. Failure to either summarize or explicitly drop an episodic cell at the end of its surrounding session is a type error.</w:t>
      </w:r>
    </w:p>
    <w:p>
      <w:pPr>
        <w:pStyle w:val="ListParagraph"/>
        <w:numPr>
          <w:ilvl w:val="0"/>
          <w:numId w:val="2"/>
        </w:numPr>
        <w:spacing w:after="40" w:before="40" w:line="280"/>
      </w:pPr>
      <w:r>
        <w:rPr>
          <w:rFonts w:ascii="Cambria" w:cs="Cambria" w:eastAsia="Cambria" w:hAnsi="Cambria"/>
          <w:sz w:val="22"/>
          <w:szCs w:val="22"/>
        </w:rPr>
        <w:t xml:space="preserve">Semantic memory updates are linearized. A semantic cell may be borrowed for read by many concurrent actors but may be updated only through an exclusive borrow whose lifetime excludes all read borrows. This is the Rust borrow-checker discipline applied to the semantic memory layer.</w:t>
      </w:r>
    </w:p>
    <w:p>
      <w:pPr>
        <w:pStyle w:val="ListParagraph"/>
        <w:numPr>
          <w:ilvl w:val="0"/>
          <w:numId w:val="2"/>
        </w:numPr>
        <w:spacing w:after="40" w:before="40" w:line="280"/>
      </w:pPr>
      <w:r>
        <w:rPr>
          <w:rFonts w:ascii="Cambria" w:cs="Cambria" w:eastAsia="Cambria" w:hAnsi="Cambria"/>
          <w:sz w:val="22"/>
          <w:szCs w:val="22"/>
        </w:rPr>
        <w:t xml:space="preserve">Procedural memory is invalidated when its source tool schema changes. The type of a procedural cell carries a hash of the tool schema it was derived from; a change in the schema produces a fresh type, and the old cell is no longer assignable to a parameter expecting the new type. Stale-cache bugs of the form “the tool changed but the cached procedure did not” become type errors.</w:t>
      </w:r>
    </w:p>
    <w:p>
      <w:pPr>
        <w:spacing w:after="120" w:before="60" w:line="300"/>
        <w:jc w:val="both"/>
      </w:pPr>
      <w:r>
        <w:rPr>
          <w:rFonts w:ascii="Cambria" w:cs="Cambria" w:eastAsia="Cambria" w:hAnsi="Cambria"/>
          <w:sz w:val="22"/>
          <w:szCs w:val="22"/>
        </w:rPr>
        <w:t xml:space="preserve">Each of these guarantees corresponds to a class of bug that the agentic-systems literature has identified as both common and consequential. The thesis of this section is that all four are within the reach of a type system that already supplies affine resources and lifetimes, and that Garnet is the natural place to demonstrate the reach.</w:t>
      </w:r>
    </w:p>
    <w:p>
      <w:r>
        <w:br w:type="page"/>
      </w:r>
    </w:p>
    <w:p>
      <w:pPr>
        <w:pStyle w:val="Heading1"/>
        <w:spacing w:after="180" w:before="360"/>
      </w:pPr>
      <w:r>
        <w:rPr>
          <w:rFonts w:ascii="Cambria" w:cs="Cambria" w:eastAsia="Cambria" w:hAnsi="Cambria"/>
          <w:b/>
          <w:bCs/>
          <w:sz w:val="32"/>
          <w:szCs w:val="32"/>
        </w:rPr>
        <w:t xml:space="preserve">8. Typed Actor Protocols</w:t>
      </w:r>
    </w:p>
    <w:p>
      <w:pPr>
        <w:spacing w:after="120" w:before="60" w:line="300"/>
        <w:jc w:val="both"/>
      </w:pPr>
      <w:r>
        <w:rPr>
          <w:rFonts w:ascii="Cambria" w:cs="Cambria" w:eastAsia="Cambria" w:hAnsi="Cambria"/>
          <w:sz w:val="22"/>
          <w:szCs w:val="22"/>
        </w:rPr>
        <w:t xml:space="preserve">The concurrency story of Garnet is typed actors with session-typed channels. This section develops the connection between the actor model and the affine substrate of λ_safe, presents the typing rules for actor primitives, and addresses the question of multi-agent consistency on a shared Memory Core (open question OQ-8 from the Garnet design notes).</w:t>
      </w:r>
    </w:p>
    <w:p>
      <w:pPr>
        <w:pStyle w:val="Heading2"/>
        <w:spacing w:after="140" w:before="280"/>
      </w:pPr>
      <w:r>
        <w:rPr>
          <w:rFonts w:ascii="Cambria" w:cs="Cambria" w:eastAsia="Cambria" w:hAnsi="Cambria"/>
          <w:b/>
          <w:bCs/>
          <w:sz w:val="26"/>
          <w:szCs w:val="26"/>
        </w:rPr>
        <w:t xml:space="preserve">8.1 Actors and channels</w:t>
      </w:r>
    </w:p>
    <w:p>
      <w:pPr>
        <w:spacing w:after="120" w:before="60" w:line="300"/>
        <w:jc w:val="both"/>
      </w:pPr>
      <w:r>
        <w:rPr>
          <w:rFonts w:ascii="Cambria" w:cs="Cambria" w:eastAsia="Cambria" w:hAnsi="Cambria"/>
          <w:sz w:val="22"/>
          <w:szCs w:val="22"/>
        </w:rPr>
        <w:t xml:space="preserve">An actor in Garnet is an isolated unit of computation that owns its private state and communicates with other actors only through typed channels. Actor identifiers have the type Actor[Π] in the managed sub-calculus, where Π is a session type describing the protocol the actor implements. Channels have the type Chan[Π] in the safe sub-calculus, with the same Π. The two views are bridged by the boundary rules of §4: an actor identifier may be obtained on the managed side and used to derive a channel handle on the safe side, with the session type Π preserved across the crossing.</w:t>
      </w:r>
    </w:p>
    <w:p>
      <w:pPr>
        <w:spacing w:after="120" w:before="60" w:line="300"/>
        <w:jc w:val="both"/>
      </w:pPr>
      <w:r>
        <w:rPr>
          <w:rFonts w:ascii="Cambria" w:cs="Cambria" w:eastAsia="Cambria" w:hAnsi="Cambria"/>
          <w:sz w:val="22"/>
          <w:szCs w:val="22"/>
        </w:rPr>
        <w:t xml:space="preserve">The session type Π is drawn from a standard grammar with the following constructors: !τ. Π for sending a value of type τ then continuing as Π; ?τ. Π for receiving; Π_1 ⊕ Π_2 for an internal choice; Π_1 &amp; Π_2 for an external choice; rec X. Π for recursive protocols; and end for protocol termination. The discipline is that a channel of type Chan[Π] must be used in exactly the sequence Π prescribes; deviation is a type error.</w:t>
      </w:r>
    </w:p>
    <w:p>
      <w:pPr>
        <w:pStyle w:val="Heading2"/>
        <w:spacing w:after="140" w:before="280"/>
      </w:pPr>
      <w:r>
        <w:rPr>
          <w:rFonts w:ascii="Cambria" w:cs="Cambria" w:eastAsia="Cambria" w:hAnsi="Cambria"/>
          <w:b/>
          <w:bCs/>
          <w:sz w:val="26"/>
          <w:szCs w:val="26"/>
        </w:rPr>
        <w:t xml:space="preserve">8.2 Selected actor typing rules</w:t>
      </w:r>
    </w:p>
    <w:p>
      <w:pPr>
        <w:spacing w:after="120" w:before="60" w:line="300"/>
        <w:jc w:val="both"/>
      </w:pPr>
      <w:r>
        <w:rPr>
          <w:rFonts w:ascii="Cambria" w:cs="Cambria" w:eastAsia="Cambria" w:hAnsi="Cambria"/>
          <w:sz w:val="22"/>
          <w:szCs w:val="22"/>
        </w:rPr>
        <w:t xml:space="preserve">Actor spawn, in the managed sub-calculus:</w:t>
      </w:r>
    </w:p>
    <w:p>
      <w:pPr>
        <w:spacing w:after="0" w:before="160" w:line="260"/>
        <w:ind w:left="720"/>
        <w:jc w:val="left"/>
      </w:pPr>
      <w:r>
        <w:rPr>
          <w:rFonts w:ascii="Consolas" w:cs="Consolas" w:eastAsia="Consolas" w:hAnsi="Consolas"/>
          <w:sz w:val="19"/>
          <w:szCs w:val="19"/>
        </w:rPr>
        <w:t xml:space="preserve">Γ ; · ⊢_S body : Chan[Π̄] -⊸ end</w:t>
      </w:r>
    </w:p>
    <w:p>
      <w:pPr>
        <w:spacing w:after="0" w:before="0" w:line="260"/>
        <w:ind w:left="720"/>
        <w:jc w:val="left"/>
      </w:pPr>
      <w:r>
        <w:rPr>
          <w:rFonts w:ascii="Consolas" w:cs="Consolas" w:eastAsia="Consolas" w:hAnsi="Consolas"/>
          <w:sz w:val="19"/>
          <w:szCs w:val="19"/>
        </w:rPr>
        <w:t xml:space="preserve">────────────────────────────────  (M-Spawn)</w:t>
      </w:r>
    </w:p>
    <w:p>
      <w:pPr>
        <w:spacing w:after="160" w:before="0" w:line="260"/>
        <w:ind w:left="720"/>
        <w:jc w:val="left"/>
      </w:pPr>
      <w:r>
        <w:rPr>
          <w:rFonts w:ascii="Consolas" w:cs="Consolas" w:eastAsia="Consolas" w:hAnsi="Consolas"/>
          <w:sz w:val="19"/>
          <w:szCs w:val="19"/>
        </w:rPr>
        <w:t xml:space="preserve">Γ ; Δ ⊢_M  spawn body : Actor[Π]</w:t>
      </w:r>
    </w:p>
    <w:p>
      <w:pPr>
        <w:spacing w:after="120" w:before="60" w:line="300"/>
        <w:jc w:val="both"/>
      </w:pPr>
      <w:r>
        <w:rPr>
          <w:rFonts w:ascii="Cambria" w:cs="Cambria" w:eastAsia="Cambria" w:hAnsi="Cambria"/>
          <w:sz w:val="22"/>
          <w:szCs w:val="22"/>
        </w:rPr>
        <w:t xml:space="preserve">The rule reads as follows. To spawn an actor implementing protocol Π, supply a safe-mode body that takes the dual channel Chan[Π̄] and uses it to completion (terminating in end). The dual Π̄ flips senders and receivers in Π, so the body sees the protocol from the actor’s perspective. The body is required to live in λ_safe with empty affine context — the same restriction that M-SafeIntro imposes — which guarantees that the actor does not start life entangled with outer safe resources.</w:t>
      </w:r>
    </w:p>
    <w:p>
      <w:pPr>
        <w:spacing w:after="120" w:before="60" w:line="300"/>
        <w:jc w:val="both"/>
      </w:pPr>
      <w:r>
        <w:rPr>
          <w:rFonts w:ascii="Cambria" w:cs="Cambria" w:eastAsia="Cambria" w:hAnsi="Cambria"/>
          <w:sz w:val="22"/>
          <w:szCs w:val="22"/>
        </w:rPr>
        <w:t xml:space="preserve">Channel send, in the safe sub-calculus:</w:t>
      </w:r>
    </w:p>
    <w:p>
      <w:pPr>
        <w:spacing w:after="0" w:before="160" w:line="260"/>
        <w:ind w:left="720"/>
        <w:jc w:val="left"/>
      </w:pPr>
      <w:r>
        <w:rPr>
          <w:rFonts w:ascii="Consolas" w:cs="Consolas" w:eastAsia="Consolas" w:hAnsi="Consolas"/>
          <w:sz w:val="19"/>
          <w:szCs w:val="19"/>
        </w:rPr>
        <w:t xml:space="preserve">Γ ; Δ_1 ⊢_S c : Chan[!τ. Π]    Γ ; Δ_2 ⊢_S v : τ</w:t>
      </w:r>
    </w:p>
    <w:p>
      <w:pPr>
        <w:spacing w:after="0" w:before="0" w:line="260"/>
        <w:ind w:left="720"/>
        <w:jc w:val="left"/>
      </w:pPr>
      <w:r>
        <w:rPr>
          <w:rFonts w:ascii="Consolas" w:cs="Consolas" w:eastAsia="Consolas" w:hAnsi="Consolas"/>
          <w:sz w:val="19"/>
          <w:szCs w:val="19"/>
        </w:rPr>
        <w:t xml:space="preserve">────────────────────────────────────────────────  (S-Send)</w:t>
      </w:r>
    </w:p>
    <w:p>
      <w:pPr>
        <w:spacing w:after="160" w:before="0" w:line="260"/>
        <w:ind w:left="720"/>
        <w:jc w:val="left"/>
      </w:pPr>
      <w:r>
        <w:rPr>
          <w:rFonts w:ascii="Consolas" w:cs="Consolas" w:eastAsia="Consolas" w:hAnsi="Consolas"/>
          <w:sz w:val="19"/>
          <w:szCs w:val="19"/>
        </w:rPr>
        <w:t xml:space="preserve">Γ ; Δ_1, Δ_2 ⊢_S  send_c c v : Chan[Π]</w:t>
      </w:r>
    </w:p>
    <w:p>
      <w:pPr>
        <w:spacing w:after="120" w:before="60" w:line="300"/>
        <w:jc w:val="both"/>
      </w:pPr>
      <w:r>
        <w:rPr>
          <w:rFonts w:ascii="Cambria" w:cs="Cambria" w:eastAsia="Cambria" w:hAnsi="Cambria"/>
          <w:sz w:val="22"/>
          <w:szCs w:val="22"/>
        </w:rPr>
        <w:t xml:space="preserve">The send consumes both the channel handle (which is replaced with a handle of the continuation type Chan[Π]) and the value being sent. Affine accounting is exact: the original channel binding is gone after the send, and the value moves into the channel. The familiar idiom is a let-binding that captures the new channel handle: let c = send_c c v in ….</w:t>
      </w:r>
    </w:p>
    <w:p>
      <w:pPr>
        <w:spacing w:after="120" w:before="60" w:line="300"/>
        <w:jc w:val="both"/>
      </w:pPr>
      <w:r>
        <w:rPr>
          <w:rFonts w:ascii="Cambria" w:cs="Cambria" w:eastAsia="Cambria" w:hAnsi="Cambria"/>
          <w:sz w:val="22"/>
          <w:szCs w:val="22"/>
        </w:rPr>
        <w:t xml:space="preserve">Channel receive, dually:</w:t>
      </w:r>
    </w:p>
    <w:p>
      <w:pPr>
        <w:spacing w:after="0" w:before="160" w:line="260"/>
        <w:ind w:left="720"/>
        <w:jc w:val="left"/>
      </w:pPr>
      <w:r>
        <w:rPr>
          <w:rFonts w:ascii="Consolas" w:cs="Consolas" w:eastAsia="Consolas" w:hAnsi="Consolas"/>
          <w:sz w:val="19"/>
          <w:szCs w:val="19"/>
        </w:rPr>
        <w:t xml:space="preserve">Γ ; Δ ⊢_S c : Chan[?τ. Π]</w:t>
      </w:r>
    </w:p>
    <w:p>
      <w:pPr>
        <w:spacing w:after="0" w:before="0" w:line="260"/>
        <w:ind w:left="720"/>
        <w:jc w:val="left"/>
      </w:pPr>
      <w:r>
        <w:rPr>
          <w:rFonts w:ascii="Consolas" w:cs="Consolas" w:eastAsia="Consolas" w:hAnsi="Consolas"/>
          <w:sz w:val="19"/>
          <w:szCs w:val="19"/>
        </w:rPr>
        <w:t xml:space="preserve">───────────────────────────────────  (S-Recv)</w:t>
      </w:r>
    </w:p>
    <w:p>
      <w:pPr>
        <w:spacing w:after="160" w:before="0" w:line="260"/>
        <w:ind w:left="720"/>
        <w:jc w:val="left"/>
      </w:pPr>
      <w:r>
        <w:rPr>
          <w:rFonts w:ascii="Consolas" w:cs="Consolas" w:eastAsia="Consolas" w:hAnsi="Consolas"/>
          <w:sz w:val="19"/>
          <w:szCs w:val="19"/>
        </w:rPr>
        <w:t xml:space="preserve">Γ ; Δ ⊢_S  recv_c c : (τ × Chan[Π])</w:t>
      </w:r>
    </w:p>
    <w:p>
      <w:pPr>
        <w:spacing w:after="120" w:before="60" w:line="300"/>
        <w:jc w:val="both"/>
      </w:pPr>
      <w:r>
        <w:rPr>
          <w:rFonts w:ascii="Cambria" w:cs="Cambria" w:eastAsia="Cambria" w:hAnsi="Cambria"/>
          <w:sz w:val="22"/>
          <w:szCs w:val="22"/>
        </w:rPr>
        <w:t xml:space="preserve">The receive consumes the channel handle and yields a pair of the received value and the continuation channel. Again, affine accounting is exact and the original channel binding is no longer in scope.</w:t>
      </w:r>
    </w:p>
    <w:p>
      <w:pPr>
        <w:pStyle w:val="Heading2"/>
        <w:spacing w:after="140" w:before="280"/>
      </w:pPr>
      <w:r>
        <w:rPr>
          <w:rFonts w:ascii="Cambria" w:cs="Cambria" w:eastAsia="Cambria" w:hAnsi="Cambria"/>
          <w:b/>
          <w:bCs/>
          <w:sz w:val="26"/>
          <w:szCs w:val="26"/>
        </w:rPr>
        <w:t xml:space="preserve">8.3 Multi-agent consistency on a shared Memory Core</w:t>
      </w:r>
    </w:p>
    <w:p>
      <w:pPr>
        <w:spacing w:after="120" w:before="60" w:line="300"/>
        <w:jc w:val="both"/>
      </w:pPr>
      <w:r>
        <w:rPr>
          <w:rFonts w:ascii="Cambria" w:cs="Cambria" w:eastAsia="Cambria" w:hAnsi="Cambria"/>
          <w:sz w:val="22"/>
          <w:szCs w:val="22"/>
        </w:rPr>
        <w:t xml:space="preserve">Open question OQ-8 in the Garnet design notes asks how multiple agents may share a Memory Core without the resulting interactions degrading into the kinds of ad-hoc consistency problems that plague distributed key-value stores. The session-typed actor framework gives us the apparatus for a clean answer.</w:t>
      </w:r>
    </w:p>
    <w:p>
      <w:pPr>
        <w:spacing w:after="120" w:before="60" w:line="300"/>
        <w:jc w:val="both"/>
      </w:pPr>
      <w:r>
        <w:rPr>
          <w:rFonts w:ascii="Cambria" w:cs="Cambria" w:eastAsia="Cambria" w:hAnsi="Cambria"/>
          <w:sz w:val="22"/>
          <w:szCs w:val="22"/>
        </w:rPr>
        <w:t xml:space="preserve">A Memory Core in Garnet is itself an actor — a privileged actor, in the sense that the language runtime supplies its implementation, but an actor with a session type like any other. The protocol it implements includes operations for reading a memory cell of a given kind, writing a memory cell, summarizing an episodic range, querying by salience, and so on. Each operation is typed by the appropriate combination of session-type primitives, and the affine discipline ensures that the ordering of operations within a single client conversation is the order the protocol prescribes.</w:t>
      </w:r>
    </w:p>
    <w:p>
      <w:pPr>
        <w:spacing w:after="120" w:before="60" w:line="300"/>
        <w:jc w:val="both"/>
      </w:pPr>
      <w:r>
        <w:rPr>
          <w:rFonts w:ascii="Cambria" w:cs="Cambria" w:eastAsia="Cambria" w:hAnsi="Cambria"/>
          <w:sz w:val="22"/>
          <w:szCs w:val="22"/>
        </w:rPr>
        <w:t xml:space="preserve">Multi-agent consistency follows from a structural argument. Two agents wishing to operate on the same Memory Core must each hold a channel into it. Because the channel is itself an affine resource, neither agent can silently share its handle with the other; if they need to coordinate, they must do so through an explicit protocol exchange that the type system records. The familiar consistency anomalies — lost updates, dirty reads, write-write conflicts — become impossible by construction within a single channel, and are resolved at the protocol level for cross-channel interactions.</w:t>
      </w:r>
    </w:p>
    <w:p>
      <w:pPr>
        <w:spacing w:after="120" w:before="60" w:line="300"/>
        <w:jc w:val="both"/>
      </w:pPr>
      <w:r>
        <w:rPr>
          <w:rFonts w:ascii="Cambria" w:cs="Cambria" w:eastAsia="Cambria" w:hAnsi="Cambria"/>
          <w:sz w:val="22"/>
          <w:szCs w:val="22"/>
        </w:rPr>
        <w:t xml:space="preserve">This does not, of course, give us distributed consensus for free. A Memory Core implemented across multiple physical nodes still needs a consensus protocol for the operations whose linearization point is contested. What it does give us is the absence of the unforced errors: no bug arising from a forgotten lock, no race arising from an aliased reference, no stale read arising from a cache that was not invalidated when the protocol said it should be. The types catch all of these statically. The remaining problems are the genuinely hard ones, and they are addressed at the runtime layer.</w:t>
      </w:r>
    </w:p>
    <w:p>
      <w:pPr>
        <w:pStyle w:val="Heading2"/>
        <w:spacing w:after="140" w:before="280"/>
      </w:pPr>
      <w:r>
        <w:rPr>
          <w:rFonts w:ascii="Cambria" w:cs="Cambria" w:eastAsia="Cambria" w:hAnsi="Cambria"/>
          <w:b/>
          <w:bCs/>
          <w:sz w:val="26"/>
          <w:szCs w:val="26"/>
        </w:rPr>
        <w:t xml:space="preserve">8.4 The runtime/language-core boundary, revisited</w:t>
      </w:r>
    </w:p>
    <w:p>
      <w:pPr>
        <w:spacing w:after="120" w:before="60" w:line="300"/>
        <w:jc w:val="both"/>
      </w:pPr>
      <w:r>
        <w:rPr>
          <w:rFonts w:ascii="Cambria" w:cs="Cambria" w:eastAsia="Cambria" w:hAnsi="Cambria"/>
          <w:sz w:val="22"/>
          <w:szCs w:val="22"/>
        </w:rPr>
        <w:t xml:space="preserve">Section 5.4 noted that the TurboQuant family of optimizations is not part of the language-core guarantees. The same disclaimer applies, with greater force, to the Memory Core’s distributed consistency. Garnet’s language core supplies the protocol-level guarantees discussed above; an implementation may use any consensus protocol it chooses (Raft, Paxos, or a more specialized scheme tailored to the salience-decay structure of agentic memory) for the operations whose semantics require it. The four-model consensus on this point is unanimous, and the paper honors it without exception.</w:t>
      </w:r>
    </w:p>
    <w:p>
      <w:r>
        <w:br w:type="page"/>
      </w:r>
    </w:p>
    <w:p>
      <w:pPr>
        <w:pStyle w:val="Heading1"/>
        <w:spacing w:after="180" w:before="360"/>
      </w:pPr>
      <w:r>
        <w:rPr>
          <w:rFonts w:ascii="Cambria" w:cs="Cambria" w:eastAsia="Cambria" w:hAnsi="Cambria"/>
          <w:b/>
          <w:bCs/>
          <w:sz w:val="32"/>
          <w:szCs w:val="32"/>
        </w:rPr>
        <w:t xml:space="preserve">9. Related Work</w:t>
      </w:r>
    </w:p>
    <w:p>
      <w:pPr>
        <w:spacing w:after="120" w:before="60" w:line="300"/>
        <w:jc w:val="both"/>
      </w:pPr>
      <w:r>
        <w:rPr>
          <w:rFonts w:ascii="Cambria" w:cs="Cambria" w:eastAsia="Cambria" w:hAnsi="Cambria"/>
          <w:sz w:val="22"/>
          <w:szCs w:val="22"/>
        </w:rPr>
        <w:t xml:space="preserve">This section places Garnet within the lineage of languages and formal systems it most directly extends. The treatment is selective; a complete bibliography of linear and affine type systems alone would fill more pages than this paper has.</w:t>
      </w:r>
    </w:p>
    <w:p>
      <w:pPr>
        <w:pStyle w:val="Heading2"/>
        <w:spacing w:after="140" w:before="280"/>
      </w:pPr>
      <w:r>
        <w:rPr>
          <w:rFonts w:ascii="Cambria" w:cs="Cambria" w:eastAsia="Cambria" w:hAnsi="Cambria"/>
          <w:b/>
          <w:bCs/>
          <w:sz w:val="26"/>
          <w:szCs w:val="26"/>
        </w:rPr>
        <w:t xml:space="preserve">9.1 Rust and RustBelt</w:t>
      </w:r>
    </w:p>
    <w:p>
      <w:pPr>
        <w:spacing w:after="120" w:before="60" w:line="300"/>
        <w:jc w:val="both"/>
      </w:pPr>
      <w:r>
        <w:rPr>
          <w:rFonts w:ascii="Cambria" w:cs="Cambria" w:eastAsia="Cambria" w:hAnsi="Cambria"/>
          <w:sz w:val="22"/>
          <w:szCs w:val="22"/>
        </w:rPr>
        <w:t xml:space="preserve">Rust is the immediate ancestor of λ_safe. The ownership and borrowing discipline, the lifetime annotations, the trait system, and the Send/Sync separation that underlies Rust’s concurrency safety are all reflected, in simplified form, in Garnet’s safe sub-calculus. RustBelt, as discussed at length in §6, supplies the semantic grounding template that any future mechanization of λ_GAR is expected to follow. Garnet’s departure from Rust is not in the discipline but in the deployment: where Rust offers ownership as the only available regime, Garnet offers it as one of two coexisting regimes joined by a typed boundary.</w:t>
      </w:r>
    </w:p>
    <w:p>
      <w:pPr>
        <w:pStyle w:val="Heading2"/>
        <w:spacing w:after="140" w:before="280"/>
      </w:pPr>
      <w:r>
        <w:rPr>
          <w:rFonts w:ascii="Cambria" w:cs="Cambria" w:eastAsia="Cambria" w:hAnsi="Cambria"/>
          <w:b/>
          <w:bCs/>
          <w:sz w:val="26"/>
          <w:szCs w:val="26"/>
        </w:rPr>
        <w:t xml:space="preserve">9.2 Swift</w:t>
      </w:r>
    </w:p>
    <w:p>
      <w:pPr>
        <w:spacing w:after="120" w:before="60" w:line="300"/>
        <w:jc w:val="both"/>
      </w:pPr>
      <w:r>
        <w:rPr>
          <w:rFonts w:ascii="Cambria" w:cs="Cambria" w:eastAsia="Cambria" w:hAnsi="Cambria"/>
          <w:sz w:val="22"/>
          <w:szCs w:val="22"/>
        </w:rPr>
        <w:t xml:space="preserve">Swift is the immediate ancestor of λ_managed. The ARC-based memory management, the actor model introduced in Swift 5.5, the Sendable protocol that distinguishes types safe to share across actor boundaries, and the @MainActor and other annotation-driven discipline of contemporary Swift are all reflected in Garnet’s managed sub-calculus and its boundary rules. Garnet’s departure from Swift is the addition of a fully ownership-typed mode for hot paths and the elevation of memory primitives into the type system.</w:t>
      </w:r>
    </w:p>
    <w:p>
      <w:pPr>
        <w:pStyle w:val="Heading2"/>
        <w:spacing w:after="140" w:before="280"/>
      </w:pPr>
      <w:r>
        <w:rPr>
          <w:rFonts w:ascii="Cambria" w:cs="Cambria" w:eastAsia="Cambria" w:hAnsi="Cambria"/>
          <w:b/>
          <w:bCs/>
          <w:sz w:val="26"/>
          <w:szCs w:val="26"/>
        </w:rPr>
        <w:t xml:space="preserve">9.3 Pony, Encore, and capability-based concurrency</w:t>
      </w:r>
    </w:p>
    <w:p>
      <w:pPr>
        <w:spacing w:after="120" w:before="60" w:line="300"/>
        <w:jc w:val="both"/>
      </w:pPr>
      <w:r>
        <w:rPr>
          <w:rFonts w:ascii="Cambria" w:cs="Cambria" w:eastAsia="Cambria" w:hAnsi="Cambria"/>
          <w:sz w:val="22"/>
          <w:szCs w:val="22"/>
        </w:rPr>
        <w:t xml:space="preserve">Pony introduced reference capabilities — a type-level distinction between references that are unique, immutable, shared, and so on — as a discipline for actor-based concurrency. Encore developed a related design with active objects and explicit capabilities. Both languages share with Garnet the conviction that concurrency safety should be expressible in the type system rather than relegated to runtime checks. They differ in their orientation: both Pony and Encore are wholly within the systems-language tradition and do not offer a managed comfort surface.</w:t>
      </w:r>
    </w:p>
    <w:p>
      <w:pPr>
        <w:pStyle w:val="Heading2"/>
        <w:spacing w:after="140" w:before="280"/>
      </w:pPr>
      <w:r>
        <w:rPr>
          <w:rFonts w:ascii="Cambria" w:cs="Cambria" w:eastAsia="Cambria" w:hAnsi="Cambria"/>
          <w:b/>
          <w:bCs/>
          <w:sz w:val="26"/>
          <w:szCs w:val="26"/>
        </w:rPr>
        <w:t xml:space="preserve">9.4 Koka and effect systems</w:t>
      </w:r>
    </w:p>
    <w:p>
      <w:pPr>
        <w:spacing w:after="120" w:before="60" w:line="300"/>
        <w:jc w:val="both"/>
      </w:pPr>
      <w:r>
        <w:rPr>
          <w:rFonts w:ascii="Cambria" w:cs="Cambria" w:eastAsia="Cambria" w:hAnsi="Cambria"/>
          <w:sz w:val="22"/>
          <w:szCs w:val="22"/>
        </w:rPr>
        <w:t xml:space="preserve">Koka, in the lineage of effect-typed languages developed at Microsoft Research and elsewhere, supplies a typing discipline for computational effects: the type of a function records not only its input and output types but the set of effects it may perform. Garnet does not (yet) include a full effect system, and this paper does not develop one. We note that the mode boundary of §4 is, in a particular sense, a coarse effect annotation: the constructors safe[·] and managed[·] mark transitions between two effect regimes, and a more fine-grained effect system layered on top of λ_GAR would be a natural extension.</w:t>
      </w:r>
    </w:p>
    <w:p>
      <w:pPr>
        <w:pStyle w:val="Heading2"/>
        <w:spacing w:after="140" w:before="280"/>
      </w:pPr>
      <w:r>
        <w:rPr>
          <w:rFonts w:ascii="Cambria" w:cs="Cambria" w:eastAsia="Cambria" w:hAnsi="Cambria"/>
          <w:b/>
          <w:bCs/>
          <w:sz w:val="26"/>
          <w:szCs w:val="26"/>
        </w:rPr>
        <w:t xml:space="preserve">9.5 Granule, ATS, and graded modal types</w:t>
      </w:r>
    </w:p>
    <w:p>
      <w:pPr>
        <w:spacing w:after="120" w:before="60" w:line="300"/>
        <w:jc w:val="both"/>
      </w:pPr>
      <w:r>
        <w:rPr>
          <w:rFonts w:ascii="Cambria" w:cs="Cambria" w:eastAsia="Cambria" w:hAnsi="Cambria"/>
          <w:sz w:val="22"/>
          <w:szCs w:val="22"/>
        </w:rPr>
        <w:t xml:space="preserve">Granule supplies a type system in which values are annotated with grades drawn from a semiring, generalizing the use-exactly-once discipline of linear types and the use-at-most-once discipline of affine types to a much wider design space. ATS combines linear types with dependent types in a working language and has been used for systems-programming verification. Both projects demonstrate that strong resource disciplines can be made to coexist with substantial type-level expressiveness; both are influences on Garnet’s memory-primitive treatment in §7.</w:t>
      </w:r>
    </w:p>
    <w:p>
      <w:pPr>
        <w:pStyle w:val="Heading2"/>
        <w:spacing w:after="140" w:before="280"/>
      </w:pPr>
      <w:r>
        <w:rPr>
          <w:rFonts w:ascii="Cambria" w:cs="Cambria" w:eastAsia="Cambria" w:hAnsi="Cambria"/>
          <w:b/>
          <w:bCs/>
          <w:sz w:val="26"/>
          <w:szCs w:val="26"/>
        </w:rPr>
        <w:t xml:space="preserve">9.6 Agentic systems and memory engineering</w:t>
      </w:r>
    </w:p>
    <w:p>
      <w:pPr>
        <w:spacing w:after="120" w:before="60" w:line="300"/>
        <w:jc w:val="both"/>
      </w:pPr>
      <w:r>
        <w:rPr>
          <w:rFonts w:ascii="Cambria" w:cs="Cambria" w:eastAsia="Cambria" w:hAnsi="Cambria"/>
          <w:sz w:val="22"/>
          <w:szCs w:val="22"/>
        </w:rPr>
        <w:t xml:space="preserve">The four-way memory taxonomy of §7 is drawn from the contemporary agentic-systems literature. The Richmond Alake transcript and the follow-on memory-engineering notes that informed the Garnet design treat working, episodic, semantic, and procedural memories as the right structuring for long-running language-model agents. Garnet’s contribution is to lift this engineering taxonomy into the language’s type system rather than leave it in libraries; the formal apparatus that makes the lifting tractable is the affine substrate of §3 and §4.</w:t>
      </w:r>
    </w:p>
    <w:p>
      <w:r>
        <w:br w:type="page"/>
      </w:r>
    </w:p>
    <w:p>
      <w:pPr>
        <w:pStyle w:val="Heading1"/>
        <w:spacing w:after="180" w:before="360"/>
      </w:pPr>
      <w:r>
        <w:rPr>
          <w:rFonts w:ascii="Cambria" w:cs="Cambria" w:eastAsia="Cambria" w:hAnsi="Cambria"/>
          <w:b/>
          <w:bCs/>
          <w:sz w:val="32"/>
          <w:szCs w:val="32"/>
        </w:rPr>
        <w:t xml:space="preserve">10. Discussion and Limitations</w:t>
      </w:r>
    </w:p>
    <w:p>
      <w:pPr>
        <w:pStyle w:val="Heading2"/>
        <w:spacing w:after="140" w:before="280"/>
      </w:pPr>
      <w:r>
        <w:rPr>
          <w:rFonts w:ascii="Cambria" w:cs="Cambria" w:eastAsia="Cambria" w:hAnsi="Cambria"/>
          <w:b/>
          <w:bCs/>
          <w:sz w:val="26"/>
          <w:szCs w:val="26"/>
        </w:rPr>
        <w:t xml:space="preserve">10.1 What is proved versus what is conjectured</w:t>
      </w:r>
    </w:p>
    <w:p>
      <w:pPr>
        <w:spacing w:after="120" w:before="60" w:line="300"/>
        <w:jc w:val="both"/>
      </w:pPr>
      <w:r>
        <w:rPr>
          <w:rFonts w:ascii="Cambria" w:cs="Cambria" w:eastAsia="Cambria" w:hAnsi="Cambria"/>
          <w:sz w:val="22"/>
          <w:szCs w:val="22"/>
        </w:rPr>
        <w:t xml:space="preserve">The progress and preservation theorems for the two sub-calculi (Theorems 5.1–5.4) are stated and are amenable to proof by structural induction in the standard style. We assert them with the confidence that a research paper asserts results whose proofs are sketched. The non-interference theorem (Theorem 5.5) is sketched only; its full proof requires a logical relation indexed over boundary depth that we have not constructed. We include the statement because we judge it to be provable and because identifying it as an obligation is more honest than omitting it.</w:t>
      </w:r>
    </w:p>
    <w:p>
      <w:pPr>
        <w:spacing w:after="120" w:before="60" w:line="300"/>
        <w:jc w:val="both"/>
      </w:pPr>
      <w:r>
        <w:rPr>
          <w:rFonts w:ascii="Cambria" w:cs="Cambria" w:eastAsia="Cambria" w:hAnsi="Cambria"/>
          <w:sz w:val="22"/>
          <w:szCs w:val="22"/>
        </w:rPr>
        <w:t xml:space="preserve">The semantic grounding of §6 is not a proof; it is an outline of how a proof would proceed. We are confident in the outline because the techniques it relies on — Iris, RustBelt-style logical relations, ARC counting permissions — are all individually established. The work that remains is the careful definition of the type interpretations and the case analysis at the boundary.</w:t>
      </w:r>
    </w:p>
    <w:p>
      <w:pPr>
        <w:spacing w:after="120" w:before="60" w:line="300"/>
        <w:jc w:val="both"/>
      </w:pPr>
      <w:r>
        <w:rPr>
          <w:rFonts w:ascii="Cambria" w:cs="Cambria" w:eastAsia="Cambria" w:hAnsi="Cambria"/>
          <w:sz w:val="22"/>
          <w:szCs w:val="22"/>
        </w:rPr>
        <w:t xml:space="preserve">The memory-primitive treatment of §7 is partly mathematics and partly design proposal. The affine reading of memory cells is a direct consequence of the calculus; the Relevance+Recency+Importance decay function is a design choice supported by the agentic-systems literature but not derivable from the formal system alone. The compile-time guarantees claimed in §7.4 follow from the affine discipline together with the kind annotations on memory cells; their precise statement and proof are left to a follow-up paper specifically on memory engineering.</w:t>
      </w:r>
    </w:p>
    <w:p>
      <w:pPr>
        <w:pStyle w:val="Heading2"/>
        <w:spacing w:after="140" w:before="280"/>
      </w:pPr>
      <w:r>
        <w:rPr>
          <w:rFonts w:ascii="Cambria" w:cs="Cambria" w:eastAsia="Cambria" w:hAnsi="Cambria"/>
          <w:b/>
          <w:bCs/>
          <w:sz w:val="26"/>
          <w:szCs w:val="26"/>
        </w:rPr>
        <w:t xml:space="preserve">10.2 Engineering ladder dependency</w:t>
      </w:r>
    </w:p>
    <w:p>
      <w:pPr>
        <w:spacing w:after="120" w:before="60" w:line="300"/>
        <w:jc w:val="both"/>
      </w:pPr>
      <w:r>
        <w:rPr>
          <w:rFonts w:ascii="Cambria" w:cs="Cambria" w:eastAsia="Cambria" w:hAnsi="Cambria"/>
          <w:sz w:val="22"/>
          <w:szCs w:val="22"/>
        </w:rPr>
        <w:t xml:space="preserve">This paper deliberately stays above the implementation. The Garnet engineering ladder — Mini-Spec, parser, managed interpreter, safe lowering, memory core, harness runtime — is at Rung 1 of six at the time of writing. The calculus presented here does not require any rung beyond Rung 1 to be defensible as mathematics, but the empirical claims that any language project must eventually make (this is ergonomic; this is performant; this is debuggable) require rungs that have not yet been built.</w:t>
      </w:r>
    </w:p>
    <w:p>
      <w:pPr>
        <w:spacing w:after="120" w:before="60" w:line="300"/>
        <w:jc w:val="both"/>
      </w:pPr>
      <w:r>
        <w:rPr>
          <w:rFonts w:ascii="Cambria" w:cs="Cambria" w:eastAsia="Cambria" w:hAnsi="Cambria"/>
          <w:sz w:val="22"/>
          <w:szCs w:val="22"/>
        </w:rPr>
        <w:t xml:space="preserve">We are explicit about this dependency because the four-model consensus around Garnet has consistently emphasized the importance of an engineering ladder over a narrative prototype. A formal grounding paper that overpromised on implementation maturity would betray that emphasis. What this paper supplies is a credibility floor for the design; what subsequent work supplies is the empirical ceiling.</w:t>
      </w:r>
    </w:p>
    <w:p>
      <w:pPr>
        <w:pStyle w:val="Heading2"/>
        <w:spacing w:after="140" w:before="280"/>
      </w:pPr>
      <w:r>
        <w:rPr>
          <w:rFonts w:ascii="Cambria" w:cs="Cambria" w:eastAsia="Cambria" w:hAnsi="Cambria"/>
          <w:b/>
          <w:bCs/>
          <w:sz w:val="26"/>
          <w:szCs w:val="26"/>
        </w:rPr>
        <w:t xml:space="preserve">10.3 Limitations of the calculus</w:t>
      </w:r>
    </w:p>
    <w:p>
      <w:pPr>
        <w:spacing w:after="120" w:before="60" w:line="300"/>
        <w:jc w:val="both"/>
      </w:pPr>
      <w:r>
        <w:rPr>
          <w:rFonts w:ascii="Cambria" w:cs="Cambria" w:eastAsia="Cambria" w:hAnsi="Cambria"/>
          <w:sz w:val="22"/>
          <w:szCs w:val="22"/>
        </w:rPr>
        <w:t xml:space="preserve">Several simplifications relative to a production language are worth noting. λ_GAR has no dependent types, no full effect system, no module system, and no trait or typeclass mechanism. The lifetime system is presented in a form that is closer to lifetimes-as-static-bounds than to Rust’s full inference algorithm; the reader expecting Rust’s NLL (non-lexical lifetimes) reasoning will not find it here. The actor model is single-machine in its formal treatment; distribution is addressed only at the engineering layer.</w:t>
      </w:r>
    </w:p>
    <w:p>
      <w:pPr>
        <w:spacing w:after="120" w:before="60" w:line="300"/>
        <w:jc w:val="both"/>
      </w:pPr>
      <w:r>
        <w:rPr>
          <w:rFonts w:ascii="Cambria" w:cs="Cambria" w:eastAsia="Cambria" w:hAnsi="Cambria"/>
          <w:sz w:val="22"/>
          <w:szCs w:val="22"/>
        </w:rPr>
        <w:t xml:space="preserve">Each of these omissions is principled. The dependent-type omission keeps the soundness arguments tractable. The effect-system omission leaves room for a follow-up paper. The module and trait omissions are conventional for a core calculus paper. The lifetime simplification is the move that makes the dual-mode design feasible at all: full Rust lifetime inference inside the safe mode would significantly complicate the boundary rules, and the design intuition is that safe-mode regions in Garnet programs are smaller than entire Rust programs and therefore tolerate a simpler lifetime story.</w:t>
      </w:r>
    </w:p>
    <w:p>
      <w:pPr>
        <w:pStyle w:val="Heading2"/>
        <w:spacing w:after="140" w:before="280"/>
      </w:pPr>
      <w:r>
        <w:rPr>
          <w:rFonts w:ascii="Cambria" w:cs="Cambria" w:eastAsia="Cambria" w:hAnsi="Cambria"/>
          <w:b/>
          <w:bCs/>
          <w:sz w:val="26"/>
          <w:szCs w:val="26"/>
        </w:rPr>
        <w:t xml:space="preserve">10.4 Open questions carried forward</w:t>
      </w:r>
    </w:p>
    <w:p>
      <w:pPr>
        <w:spacing w:after="120" w:before="60" w:line="300"/>
        <w:jc w:val="both"/>
      </w:pPr>
      <w:r>
        <w:rPr>
          <w:rFonts w:ascii="Cambria" w:cs="Cambria" w:eastAsia="Cambria" w:hAnsi="Cambria"/>
          <w:sz w:val="22"/>
          <w:szCs w:val="22"/>
        </w:rPr>
        <w:t xml:space="preserve">Two open questions from the Garnet design notes remain genuinely open after this paper:</w:t>
      </w:r>
    </w:p>
    <w:p>
      <w:pPr>
        <w:pStyle w:val="ListParagraph"/>
        <w:numPr>
          <w:ilvl w:val="0"/>
          <w:numId w:val="3"/>
        </w:numPr>
        <w:spacing w:after="40" w:before="40" w:line="280"/>
      </w:pPr>
      <w:r>
        <w:rPr>
          <w:rFonts w:ascii="Cambria" w:cs="Cambria" w:eastAsia="Cambria" w:hAnsi="Cambria"/>
          <w:b/>
          <w:bCs/>
          <w:sz w:val="22"/>
          <w:szCs w:val="22"/>
        </w:rPr>
        <w:t xml:space="preserve">OQ-7 (decay calibration). </w:t>
      </w:r>
      <w:r>
        <w:rPr>
          <w:rFonts w:ascii="Cambria" w:cs="Cambria" w:eastAsia="Cambria" w:hAnsi="Cambria"/>
          <w:sz w:val="22"/>
          <w:szCs w:val="22"/>
        </w:rPr>
        <w:t xml:space="preserve">The (α, β, γ) coefficients of the Relevance+Recency+Importance function are kind-specific defaults in the calculus, but the values themselves require empirical calibration against representative agentic workloads. This calibration is properly a runtime concern and is left to the engineering layer.</w:t>
      </w:r>
    </w:p>
    <w:p>
      <w:pPr>
        <w:pStyle w:val="ListParagraph"/>
        <w:numPr>
          <w:ilvl w:val="0"/>
          <w:numId w:val="3"/>
        </w:numPr>
        <w:spacing w:after="40" w:before="40" w:line="280"/>
      </w:pPr>
      <w:r>
        <w:rPr>
          <w:rFonts w:ascii="Cambria" w:cs="Cambria" w:eastAsia="Cambria" w:hAnsi="Cambria"/>
          <w:b/>
          <w:bCs/>
          <w:sz w:val="22"/>
          <w:szCs w:val="22"/>
        </w:rPr>
        <w:t xml:space="preserve">OQ-8 (multi-agent consistency at scale). </w:t>
      </w:r>
      <w:r>
        <w:rPr>
          <w:rFonts w:ascii="Cambria" w:cs="Cambria" w:eastAsia="Cambria" w:hAnsi="Cambria"/>
          <w:sz w:val="22"/>
          <w:szCs w:val="22"/>
        </w:rPr>
        <w:t xml:space="preserve">The session-typed actor framework gives us per-channel consistency by construction, but the linearization of cross-channel operations on a distributed Memory Core requires a consensus protocol whose details are runtime concerns. The language-core guarantees discussed in §8 are the floor; the ceiling is set by the particular consensus implementation chosen.</w:t>
      </w:r>
    </w:p>
    <w:p>
      <w:pPr>
        <w:spacing w:after="120" w:before="60" w:line="300"/>
        <w:jc w:val="both"/>
      </w:pPr>
      <w:r>
        <w:rPr>
          <w:rFonts w:ascii="Cambria" w:cs="Cambria" w:eastAsia="Cambria" w:hAnsi="Cambria"/>
          <w:sz w:val="22"/>
          <w:szCs w:val="22"/>
        </w:rPr>
        <w:t xml:space="preserve">Both questions are flagged in the engineering ladder as items for the harness layer, which sits at Rung 6 of six and is the appropriate place for empirical and runtime concerns to land.</w:t>
      </w:r>
    </w:p>
    <w:p>
      <w:r>
        <w:br w:type="page"/>
      </w:r>
    </w:p>
    <w:p>
      <w:pPr>
        <w:pStyle w:val="Heading1"/>
        <w:spacing w:after="180" w:before="360"/>
      </w:pPr>
      <w:r>
        <w:rPr>
          <w:rFonts w:ascii="Cambria" w:cs="Cambria" w:eastAsia="Cambria" w:hAnsi="Cambria"/>
          <w:b/>
          <w:bCs/>
          <w:sz w:val="32"/>
          <w:szCs w:val="32"/>
        </w:rPr>
        <w:t xml:space="preserve">11. Conclusion</w:t>
      </w:r>
    </w:p>
    <w:p>
      <w:pPr>
        <w:spacing w:after="120" w:before="60" w:line="300"/>
        <w:jc w:val="both"/>
      </w:pPr>
      <w:r>
        <w:rPr>
          <w:rFonts w:ascii="Cambria" w:cs="Cambria" w:eastAsia="Cambria" w:hAnsi="Cambria"/>
          <w:sz w:val="22"/>
          <w:szCs w:val="22"/>
        </w:rPr>
        <w:t xml:space="preserve">This paper has presented λ_GAR, the formal core calculus for the Garnet language, structured as a managed sub-calculus and a safe sub-calculus joined by a typed mode boundary. It has stated progress and preservation theorems for each sub-calculus, sketched a non-interference theorem for the boundary, outlined a RustBelt-style semantic grounding in Iris, recovered the four-way memory taxonomy of contemporary agentic-systems engineering as affine typed resources subject to a Relevance+Recency+Importance decay function, and presented session-typed actors with multi-agent consistency on a shared Memory Core.</w:t>
      </w:r>
    </w:p>
    <w:p>
      <w:pPr>
        <w:spacing w:after="120" w:before="60" w:line="300"/>
        <w:jc w:val="both"/>
      </w:pPr>
      <w:r>
        <w:rPr>
          <w:rFonts w:ascii="Cambria" w:cs="Cambria" w:eastAsia="Cambria" w:hAnsi="Cambria"/>
          <w:sz w:val="22"/>
          <w:szCs w:val="22"/>
        </w:rPr>
        <w:t xml:space="preserve">The contribution that we judge most consequential is the typed mode boundary itself. Prior dual-discipline languages have, with rare exceptions, treated boundary crossings informally — as an unsafe escape hatch, a foreign-function interface, or a documentation convention. Our position is that the boundary is the single most important design surface in a language that aspires to span the rigor/joy divide, and that a formal account of the boundary is the prerequisite to taking the design seriously. The asymmetric typing rules of §4 — empty-Δ on descent into safe, no analogous restriction on ascent into managed — are the formal expression of an engineering intuition that is older than this paper: it is easy to abandon discipline and hard to acquire it.</w:t>
      </w:r>
    </w:p>
    <w:p>
      <w:pPr>
        <w:spacing w:after="120" w:before="60" w:line="300"/>
        <w:jc w:val="both"/>
      </w:pPr>
      <w:r>
        <w:rPr>
          <w:rFonts w:ascii="Cambria" w:cs="Cambria" w:eastAsia="Cambria" w:hAnsi="Cambria"/>
          <w:sz w:val="22"/>
          <w:szCs w:val="22"/>
        </w:rPr>
        <w:t xml:space="preserve">Garnet is, on the strength of this calculus, submittable to PLDI, POPL, OOPSLA, or comparable top-tier venues as a contribution to programming language theory. It is also, on the strength of the engineering ladder summarized in §10.2, on a path to becoming a working language in which programmers may write code that is safe by default, fast when needed, and joyful always. The two ambitions — formal credibility and engineering reality — are not in tension; they are the two sides of the same commitment.</w:t>
      </w:r>
    </w:p>
    <w:p>
      <w:pPr>
        <w:spacing w:after="120" w:before="60" w:line="300"/>
        <w:jc w:val="both"/>
      </w:pPr>
      <w:r>
        <w:rPr>
          <w:rFonts w:ascii="Cambria" w:cs="Cambria" w:eastAsia="Cambria" w:hAnsi="Cambria"/>
          <w:sz w:val="22"/>
          <w:szCs w:val="22"/>
        </w:rPr>
        <w:t xml:space="preserve">We close with the observation that the four-model consensus around Garnet — eight points of agreement among Claude Opus 4.6, GPT-5.4 Pro, Grok 4.2, and Gemini 3.1 Pro Deep Research — has functioned throughout the design process as a credibility floor and a corrective. The points of agreement that bear most directly on this paper are the runtime/language-core separation, the affine-rather-than-linear discipline for the safe sub-calculus, the centrality of the mode boundary, and the elevation of memory primitives to first-class status. The paper has honored all four. The points of divergence — most consequentially, the question of whether TurboQuant-style optimizations belong in the language or the runtime — have been adjudicated in favor of the more conservative reading throughout.</w:t>
      </w:r>
    </w:p>
    <w:p>
      <w:pPr>
        <w:spacing w:after="120" w:before="60" w:line="300"/>
        <w:jc w:val="both"/>
      </w:pPr>
      <w:r>
        <w:rPr>
          <w:rFonts w:ascii="Cambria" w:cs="Cambria" w:eastAsia="Cambria" w:hAnsi="Cambria"/>
          <w:sz w:val="22"/>
          <w:szCs w:val="22"/>
        </w:rPr>
        <w:t xml:space="preserve">This paper is intended as the formal opening move of Garnet’s appearance in the academic record, and as a standing invitation to the broader programming-language and systems community to engage with the design. The harness, as the closing slide of the Garnet deck has it, is open.</w:t>
      </w:r>
    </w:p>
    <w:p>
      <w:r>
        <w:rPr>
          <w:sz w:val="18"/>
          <w:szCs w:val="18"/>
        </w:rPr>
        <w:t xml:space="preserve"> </w:t>
      </w:r>
    </w:p>
    <w:p>
      <w:pPr>
        <w:spacing w:after="120" w:before="60" w:line="300"/>
        <w:jc w:val="center"/>
      </w:pPr>
      <w:r>
        <w:rPr>
          <w:rFonts w:ascii="Cambria" w:cs="Cambria" w:eastAsia="Cambria" w:hAnsi="Cambria"/>
          <w:i/>
          <w:iCs/>
          <w:sz w:val="22"/>
          <w:szCs w:val="22"/>
        </w:rPr>
        <w:t xml:space="preserve">“Where there is no vision, the people perish.” — Proverbs 29:18</w:t>
      </w:r>
    </w:p>
    <w:p>
      <w:pPr>
        <w:spacing w:after="120" w:before="60" w:line="300"/>
        <w:jc w:val="center"/>
      </w:pPr>
      <w:r>
        <w:rPr>
          <w:rFonts w:ascii="Cambria" w:cs="Cambria" w:eastAsia="Cambria" w:hAnsi="Cambria"/>
          <w:i/>
          <w:iCs/>
          <w:sz w:val="22"/>
          <w:szCs w:val="22"/>
        </w:rPr>
        <w:t xml:space="preserve">“In the multitude of counsellors there is safety.” — Proverbs 11:14</w:t>
      </w:r>
    </w:p>
    <w:p>
      <w:r>
        <w:br w:type="page"/>
      </w:r>
    </w:p>
    <w:p>
      <w:pPr>
        <w:pStyle w:val="Heading1"/>
        <w:spacing w:after="180" w:before="360"/>
      </w:pPr>
      <w:r>
        <w:rPr>
          <w:rFonts w:ascii="Cambria" w:cs="Cambria" w:eastAsia="Cambria" w:hAnsi="Cambria"/>
          <w:b/>
          <w:bCs/>
          <w:sz w:val="32"/>
          <w:szCs w:val="32"/>
        </w:rPr>
        <w:t xml:space="preserve">12. References</w:t>
      </w:r>
    </w:p>
    <w:p>
      <w:pPr>
        <w:spacing w:after="120" w:before="60" w:line="300"/>
        <w:jc w:val="both"/>
      </w:pPr>
      <w:r>
        <w:rPr>
          <w:rFonts w:ascii="Cambria" w:cs="Cambria" w:eastAsia="Cambria" w:hAnsi="Cambria"/>
          <w:sz w:val="22"/>
          <w:szCs w:val="22"/>
        </w:rPr>
        <w:t xml:space="preserve">The references below are presented in the compact style of a paper draft; a full bibliography in BibTeX form will accompany the arXiv submission.</w:t>
      </w:r>
    </w:p>
    <w:p>
      <w:r>
        <w:rPr>
          <w:sz w:val="18"/>
          <w:szCs w:val="18"/>
        </w:rPr>
        <w:t xml:space="preserve"> </w:t>
      </w:r>
    </w:p>
    <w:p>
      <w:pPr>
        <w:spacing w:after="120" w:before="60" w:line="300"/>
        <w:jc w:val="both"/>
      </w:pPr>
      <w:r>
        <w:rPr>
          <w:rFonts w:ascii="Cambria" w:cs="Cambria" w:eastAsia="Cambria" w:hAnsi="Cambria"/>
          <w:sz w:val="22"/>
          <w:szCs w:val="22"/>
        </w:rPr>
        <w:t xml:space="preserve">Hewitt, C., Bishop, P., and Steiger, R. (1973). </w:t>
      </w:r>
      <w:r>
        <w:rPr>
          <w:rFonts w:ascii="Cambria" w:cs="Cambria" w:eastAsia="Cambria" w:hAnsi="Cambria"/>
          <w:i/>
          <w:iCs/>
          <w:sz w:val="22"/>
          <w:szCs w:val="22"/>
        </w:rPr>
        <w:t xml:space="preserve">A Universal Modular Actor Formalism for Artificial Intelligence.</w:t>
      </w:r>
      <w:r>
        <w:rPr>
          <w:rFonts w:ascii="Cambria" w:cs="Cambria" w:eastAsia="Cambria" w:hAnsi="Cambria"/>
          <w:sz w:val="22"/>
          <w:szCs w:val="22"/>
        </w:rPr>
        <w:t xml:space="preserve"> IJCAI.</w:t>
      </w:r>
    </w:p>
    <w:p>
      <w:pPr>
        <w:spacing w:after="120" w:before="60" w:line="300"/>
        <w:jc w:val="both"/>
      </w:pPr>
      <w:r>
        <w:rPr>
          <w:rFonts w:ascii="Cambria" w:cs="Cambria" w:eastAsia="Cambria" w:hAnsi="Cambria"/>
          <w:sz w:val="22"/>
          <w:szCs w:val="22"/>
        </w:rPr>
        <w:t xml:space="preserve">Honda, K. (1993). </w:t>
      </w:r>
      <w:r>
        <w:rPr>
          <w:rFonts w:ascii="Cambria" w:cs="Cambria" w:eastAsia="Cambria" w:hAnsi="Cambria"/>
          <w:i/>
          <w:iCs/>
          <w:sz w:val="22"/>
          <w:szCs w:val="22"/>
        </w:rPr>
        <w:t xml:space="preserve">Types for Dyadic Interaction.</w:t>
      </w:r>
      <w:r>
        <w:rPr>
          <w:rFonts w:ascii="Cambria" w:cs="Cambria" w:eastAsia="Cambria" w:hAnsi="Cambria"/>
          <w:sz w:val="22"/>
          <w:szCs w:val="22"/>
        </w:rPr>
        <w:t xml:space="preserve"> CONCUR.</w:t>
      </w:r>
    </w:p>
    <w:p>
      <w:pPr>
        <w:spacing w:after="120" w:before="60" w:line="300"/>
        <w:jc w:val="both"/>
      </w:pPr>
      <w:r>
        <w:rPr>
          <w:rFonts w:ascii="Cambria" w:cs="Cambria" w:eastAsia="Cambria" w:hAnsi="Cambria"/>
          <w:sz w:val="22"/>
          <w:szCs w:val="22"/>
        </w:rPr>
        <w:t xml:space="preserve">Honda, K., Vasconcelos, V. T., and Kubo, M. (1998). </w:t>
      </w:r>
      <w:r>
        <w:rPr>
          <w:rFonts w:ascii="Cambria" w:cs="Cambria" w:eastAsia="Cambria" w:hAnsi="Cambria"/>
          <w:i/>
          <w:iCs/>
          <w:sz w:val="22"/>
          <w:szCs w:val="22"/>
        </w:rPr>
        <w:t xml:space="preserve">Language Primitives and Type Discipline for Structured Communication-Based Programming.</w:t>
      </w:r>
      <w:r>
        <w:rPr>
          <w:rFonts w:ascii="Cambria" w:cs="Cambria" w:eastAsia="Cambria" w:hAnsi="Cambria"/>
          <w:sz w:val="22"/>
          <w:szCs w:val="22"/>
        </w:rPr>
        <w:t xml:space="preserve"> ESOP.</w:t>
      </w:r>
    </w:p>
    <w:p>
      <w:pPr>
        <w:spacing w:after="120" w:before="60" w:line="300"/>
        <w:jc w:val="both"/>
      </w:pPr>
      <w:r>
        <w:rPr>
          <w:rFonts w:ascii="Cambria" w:cs="Cambria" w:eastAsia="Cambria" w:hAnsi="Cambria"/>
          <w:sz w:val="22"/>
          <w:szCs w:val="22"/>
        </w:rPr>
        <w:t xml:space="preserve">Girard, J.-Y. (1987). </w:t>
      </w:r>
      <w:r>
        <w:rPr>
          <w:rFonts w:ascii="Cambria" w:cs="Cambria" w:eastAsia="Cambria" w:hAnsi="Cambria"/>
          <w:i/>
          <w:iCs/>
          <w:sz w:val="22"/>
          <w:szCs w:val="22"/>
        </w:rPr>
        <w:t xml:space="preserve">Linear Logic.</w:t>
      </w:r>
      <w:r>
        <w:rPr>
          <w:rFonts w:ascii="Cambria" w:cs="Cambria" w:eastAsia="Cambria" w:hAnsi="Cambria"/>
          <w:sz w:val="22"/>
          <w:szCs w:val="22"/>
        </w:rPr>
        <w:t xml:space="preserve"> Theoretical Computer Science 50(1).</w:t>
      </w:r>
    </w:p>
    <w:p>
      <w:pPr>
        <w:spacing w:after="120" w:before="60" w:line="300"/>
        <w:jc w:val="both"/>
      </w:pPr>
      <w:r>
        <w:rPr>
          <w:rFonts w:ascii="Cambria" w:cs="Cambria" w:eastAsia="Cambria" w:hAnsi="Cambria"/>
          <w:sz w:val="22"/>
          <w:szCs w:val="22"/>
        </w:rPr>
        <w:t xml:space="preserve">Wadler, P. (1990). </w:t>
      </w:r>
      <w:r>
        <w:rPr>
          <w:rFonts w:ascii="Cambria" w:cs="Cambria" w:eastAsia="Cambria" w:hAnsi="Cambria"/>
          <w:i/>
          <w:iCs/>
          <w:sz w:val="22"/>
          <w:szCs w:val="22"/>
        </w:rPr>
        <w:t xml:space="preserve">Linear Types Can Change the World.</w:t>
      </w:r>
      <w:r>
        <w:rPr>
          <w:rFonts w:ascii="Cambria" w:cs="Cambria" w:eastAsia="Cambria" w:hAnsi="Cambria"/>
          <w:sz w:val="22"/>
          <w:szCs w:val="22"/>
        </w:rPr>
        <w:t xml:space="preserve"> Programming Concepts and Methods.</w:t>
      </w:r>
    </w:p>
    <w:p>
      <w:pPr>
        <w:spacing w:after="120" w:before="60" w:line="300"/>
        <w:jc w:val="both"/>
      </w:pPr>
      <w:r>
        <w:rPr>
          <w:rFonts w:ascii="Cambria" w:cs="Cambria" w:eastAsia="Cambria" w:hAnsi="Cambria"/>
          <w:sz w:val="22"/>
          <w:szCs w:val="22"/>
        </w:rPr>
        <w:t xml:space="preserve">Walker, D. (2005). </w:t>
      </w:r>
      <w:r>
        <w:rPr>
          <w:rFonts w:ascii="Cambria" w:cs="Cambria" w:eastAsia="Cambria" w:hAnsi="Cambria"/>
          <w:i/>
          <w:iCs/>
          <w:sz w:val="22"/>
          <w:szCs w:val="22"/>
        </w:rPr>
        <w:t xml:space="preserve">Substructural Type Systems.</w:t>
      </w:r>
      <w:r>
        <w:rPr>
          <w:rFonts w:ascii="Cambria" w:cs="Cambria" w:eastAsia="Cambria" w:hAnsi="Cambria"/>
          <w:sz w:val="22"/>
          <w:szCs w:val="22"/>
        </w:rPr>
        <w:t xml:space="preserve"> In: Advanced Topics in Types and Programming Languages, MIT Press.</w:t>
      </w:r>
    </w:p>
    <w:p>
      <w:pPr>
        <w:spacing w:after="120" w:before="60" w:line="300"/>
        <w:jc w:val="both"/>
      </w:pPr>
      <w:r>
        <w:rPr>
          <w:rFonts w:ascii="Cambria" w:cs="Cambria" w:eastAsia="Cambria" w:hAnsi="Cambria"/>
          <w:sz w:val="22"/>
          <w:szCs w:val="22"/>
        </w:rPr>
        <w:t xml:space="preserve">Jung, R., Jourdan, J.-H., Krebbers, R., and Dreyer, D. (2018). </w:t>
      </w:r>
      <w:r>
        <w:rPr>
          <w:rFonts w:ascii="Cambria" w:cs="Cambria" w:eastAsia="Cambria" w:hAnsi="Cambria"/>
          <w:i/>
          <w:iCs/>
          <w:sz w:val="22"/>
          <w:szCs w:val="22"/>
        </w:rPr>
        <w:t xml:space="preserve">RustBelt: Securing the Foundations of the Rust Programming Language.</w:t>
      </w:r>
      <w:r>
        <w:rPr>
          <w:rFonts w:ascii="Cambria" w:cs="Cambria" w:eastAsia="Cambria" w:hAnsi="Cambria"/>
          <w:sz w:val="22"/>
          <w:szCs w:val="22"/>
        </w:rPr>
        <w:t xml:space="preserve"> POPL.</w:t>
      </w:r>
    </w:p>
    <w:p>
      <w:pPr>
        <w:spacing w:after="120" w:before="60" w:line="300"/>
        <w:jc w:val="both"/>
      </w:pPr>
      <w:r>
        <w:rPr>
          <w:rFonts w:ascii="Cambria" w:cs="Cambria" w:eastAsia="Cambria" w:hAnsi="Cambria"/>
          <w:sz w:val="22"/>
          <w:szCs w:val="22"/>
        </w:rPr>
        <w:t xml:space="preserve">Jung, R., Krebbers, R., Jourdan, J.-H., Bizjak, A., Birkedal, L., and Dreyer, D. (2018). </w:t>
      </w:r>
      <w:r>
        <w:rPr>
          <w:rFonts w:ascii="Cambria" w:cs="Cambria" w:eastAsia="Cambria" w:hAnsi="Cambria"/>
          <w:i/>
          <w:iCs/>
          <w:sz w:val="22"/>
          <w:szCs w:val="22"/>
        </w:rPr>
        <w:t xml:space="preserve">Iris from the Ground Up: A Modular Foundation for Higher-Order Concurrent Separation Logic.</w:t>
      </w:r>
      <w:r>
        <w:rPr>
          <w:rFonts w:ascii="Cambria" w:cs="Cambria" w:eastAsia="Cambria" w:hAnsi="Cambria"/>
          <w:sz w:val="22"/>
          <w:szCs w:val="22"/>
        </w:rPr>
        <w:t xml:space="preserve"> Journal of Functional Programming 28.</w:t>
      </w:r>
    </w:p>
    <w:p>
      <w:pPr>
        <w:spacing w:after="120" w:before="60" w:line="300"/>
        <w:jc w:val="both"/>
      </w:pPr>
      <w:r>
        <w:rPr>
          <w:rFonts w:ascii="Cambria" w:cs="Cambria" w:eastAsia="Cambria" w:hAnsi="Cambria"/>
          <w:sz w:val="22"/>
          <w:szCs w:val="22"/>
        </w:rPr>
        <w:t xml:space="preserve">Clebsch, S., Drossopoulou, S., Blessing, S., and McNeil, A. (2015). </w:t>
      </w:r>
      <w:r>
        <w:rPr>
          <w:rFonts w:ascii="Cambria" w:cs="Cambria" w:eastAsia="Cambria" w:hAnsi="Cambria"/>
          <w:i/>
          <w:iCs/>
          <w:sz w:val="22"/>
          <w:szCs w:val="22"/>
        </w:rPr>
        <w:t xml:space="preserve">Deny Capabilities for Safe, Fast Actors.</w:t>
      </w:r>
      <w:r>
        <w:rPr>
          <w:rFonts w:ascii="Cambria" w:cs="Cambria" w:eastAsia="Cambria" w:hAnsi="Cambria"/>
          <w:sz w:val="22"/>
          <w:szCs w:val="22"/>
        </w:rPr>
        <w:t xml:space="preserve"> AGERE!</w:t>
      </w:r>
    </w:p>
    <w:p>
      <w:pPr>
        <w:spacing w:after="120" w:before="60" w:line="300"/>
        <w:jc w:val="both"/>
      </w:pPr>
      <w:r>
        <w:rPr>
          <w:rFonts w:ascii="Cambria" w:cs="Cambria" w:eastAsia="Cambria" w:hAnsi="Cambria"/>
          <w:sz w:val="22"/>
          <w:szCs w:val="22"/>
        </w:rPr>
        <w:t xml:space="preserve">Brandauer, S., Castegren, E., Clarke, D., Fernandez-Reyes, K., Johnsen, E. B., Pun, K. I., Tarifa, S. L. T., Wrigstad, T., and Yang, A. M. (2015). </w:t>
      </w:r>
      <w:r>
        <w:rPr>
          <w:rFonts w:ascii="Cambria" w:cs="Cambria" w:eastAsia="Cambria" w:hAnsi="Cambria"/>
          <w:i/>
          <w:iCs/>
          <w:sz w:val="22"/>
          <w:szCs w:val="22"/>
        </w:rPr>
        <w:t xml:space="preserve">Parallel Objects for Multicores: A Glimpse at the Parallel Language Encore.</w:t>
      </w:r>
      <w:r>
        <w:rPr>
          <w:rFonts w:ascii="Cambria" w:cs="Cambria" w:eastAsia="Cambria" w:hAnsi="Cambria"/>
          <w:sz w:val="22"/>
          <w:szCs w:val="22"/>
        </w:rPr>
        <w:t xml:space="preserve"> SFM.</w:t>
      </w:r>
    </w:p>
    <w:p>
      <w:pPr>
        <w:spacing w:after="120" w:before="60" w:line="300"/>
        <w:jc w:val="both"/>
      </w:pPr>
      <w:r>
        <w:rPr>
          <w:rFonts w:ascii="Cambria" w:cs="Cambria" w:eastAsia="Cambria" w:hAnsi="Cambria"/>
          <w:sz w:val="22"/>
          <w:szCs w:val="22"/>
        </w:rPr>
        <w:t xml:space="preserve">Leijen, D. (2014). </w:t>
      </w:r>
      <w:r>
        <w:rPr>
          <w:rFonts w:ascii="Cambria" w:cs="Cambria" w:eastAsia="Cambria" w:hAnsi="Cambria"/>
          <w:i/>
          <w:iCs/>
          <w:sz w:val="22"/>
          <w:szCs w:val="22"/>
        </w:rPr>
        <w:t xml:space="preserve">Koka: Programming with Row Polymorphic Effect Types.</w:t>
      </w:r>
      <w:r>
        <w:rPr>
          <w:rFonts w:ascii="Cambria" w:cs="Cambria" w:eastAsia="Cambria" w:hAnsi="Cambria"/>
          <w:sz w:val="22"/>
          <w:szCs w:val="22"/>
        </w:rPr>
        <w:t xml:space="preserve"> MSFP.</w:t>
      </w:r>
    </w:p>
    <w:p>
      <w:pPr>
        <w:spacing w:after="120" w:before="60" w:line="300"/>
        <w:jc w:val="both"/>
      </w:pPr>
      <w:r>
        <w:rPr>
          <w:rFonts w:ascii="Cambria" w:cs="Cambria" w:eastAsia="Cambria" w:hAnsi="Cambria"/>
          <w:sz w:val="22"/>
          <w:szCs w:val="22"/>
        </w:rPr>
        <w:t xml:space="preserve">Orchard, D., Liepelt, V.-B., and Eades III, H. (2019). </w:t>
      </w:r>
      <w:r>
        <w:rPr>
          <w:rFonts w:ascii="Cambria" w:cs="Cambria" w:eastAsia="Cambria" w:hAnsi="Cambria"/>
          <w:i/>
          <w:iCs/>
          <w:sz w:val="22"/>
          <w:szCs w:val="22"/>
        </w:rPr>
        <w:t xml:space="preserve">Quantitative Program Reasoning with Graded Modal Types.</w:t>
      </w:r>
      <w:r>
        <w:rPr>
          <w:rFonts w:ascii="Cambria" w:cs="Cambria" w:eastAsia="Cambria" w:hAnsi="Cambria"/>
          <w:sz w:val="22"/>
          <w:szCs w:val="22"/>
        </w:rPr>
        <w:t xml:space="preserve"> ICFP.</w:t>
      </w:r>
    </w:p>
    <w:p>
      <w:pPr>
        <w:spacing w:after="120" w:before="60" w:line="300"/>
        <w:jc w:val="both"/>
      </w:pPr>
      <w:r>
        <w:rPr>
          <w:rFonts w:ascii="Cambria" w:cs="Cambria" w:eastAsia="Cambria" w:hAnsi="Cambria"/>
          <w:sz w:val="22"/>
          <w:szCs w:val="22"/>
        </w:rPr>
        <w:t xml:space="preserve">Apple Inc. (2014–2025). </w:t>
      </w:r>
      <w:r>
        <w:rPr>
          <w:rFonts w:ascii="Cambria" w:cs="Cambria" w:eastAsia="Cambria" w:hAnsi="Cambria"/>
          <w:i/>
          <w:iCs/>
          <w:sz w:val="22"/>
          <w:szCs w:val="22"/>
        </w:rPr>
        <w:t xml:space="preserve">The Swift Programming Language and Swift Evolution Proposals.</w:t>
      </w:r>
      <w:r>
        <w:rPr>
          <w:rFonts w:ascii="Cambria" w:cs="Cambria" w:eastAsia="Cambria" w:hAnsi="Cambria"/>
          <w:sz w:val="22"/>
          <w:szCs w:val="22"/>
        </w:rPr>
        <w:t xml:space="preserve"> swift.org.</w:t>
      </w:r>
    </w:p>
    <w:p>
      <w:pPr>
        <w:spacing w:after="120" w:before="60" w:line="300"/>
        <w:jc w:val="both"/>
      </w:pPr>
      <w:r>
        <w:rPr>
          <w:rFonts w:ascii="Cambria" w:cs="Cambria" w:eastAsia="Cambria" w:hAnsi="Cambria"/>
          <w:sz w:val="22"/>
          <w:szCs w:val="22"/>
        </w:rPr>
        <w:t xml:space="preserve">The Rust Project (2010–2025). </w:t>
      </w:r>
      <w:r>
        <w:rPr>
          <w:rFonts w:ascii="Cambria" w:cs="Cambria" w:eastAsia="Cambria" w:hAnsi="Cambria"/>
          <w:i/>
          <w:iCs/>
          <w:sz w:val="22"/>
          <w:szCs w:val="22"/>
        </w:rPr>
        <w:t xml:space="preserve">The Rust Reference and Rustonomicon.</w:t>
      </w:r>
      <w:r>
        <w:rPr>
          <w:rFonts w:ascii="Cambria" w:cs="Cambria" w:eastAsia="Cambria" w:hAnsi="Cambria"/>
          <w:sz w:val="22"/>
          <w:szCs w:val="22"/>
        </w:rPr>
        <w:t xml:space="preserve"> rust-lang.org.</w:t>
      </w:r>
    </w:p>
    <w:p>
      <w:pPr>
        <w:spacing w:after="120" w:before="60" w:line="300"/>
        <w:jc w:val="both"/>
      </w:pPr>
      <w:r>
        <w:rPr>
          <w:rFonts w:ascii="Cambria" w:cs="Cambria" w:eastAsia="Cambria" w:hAnsi="Cambria"/>
          <w:sz w:val="22"/>
          <w:szCs w:val="22"/>
        </w:rPr>
        <w:t xml:space="preserve">Garnet Language Project (2025–2026). </w:t>
      </w:r>
      <w:r>
        <w:rPr>
          <w:rFonts w:ascii="Cambria" w:cs="Cambria" w:eastAsia="Cambria" w:hAnsi="Cambria"/>
          <w:i/>
          <w:iCs/>
          <w:sz w:val="22"/>
          <w:szCs w:val="22"/>
        </w:rPr>
        <w:t xml:space="preserve">Garnet Mini-Spec v0.2; Four-Model Consensus Memo; Master Execution Protocol v2.2; Paper IV — Garnet Agentic Systems v2.1.</w:t>
      </w:r>
      <w:r>
        <w:rPr>
          <w:rFonts w:ascii="Cambria" w:cs="Cambria" w:eastAsia="Cambria" w:hAnsi="Cambria"/>
          <w:sz w:val="22"/>
          <w:szCs w:val="22"/>
        </w:rPr>
        <w:t xml:space="preserve"> Internal corpus.</w:t>
      </w:r>
    </w:p>
    <w:p>
      <w:pPr>
        <w:spacing w:after="120" w:before="60" w:line="300"/>
        <w:jc w:val="both"/>
      </w:pPr>
      <w:r>
        <w:rPr>
          <w:rFonts w:ascii="Cambria" w:cs="Cambria" w:eastAsia="Cambria" w:hAnsi="Cambria"/>
          <w:sz w:val="22"/>
          <w:szCs w:val="22"/>
        </w:rPr>
        <w:t xml:space="preserve">Alake, R. (April 2026). </w:t>
      </w:r>
      <w:r>
        <w:rPr>
          <w:rFonts w:ascii="Cambria" w:cs="Cambria" w:eastAsia="Cambria" w:hAnsi="Cambria"/>
          <w:i/>
          <w:iCs/>
          <w:sz w:val="22"/>
          <w:szCs w:val="22"/>
        </w:rPr>
        <w:t xml:space="preserve">Memory Engineering for Long-Running Language Model Agents.</w:t>
      </w:r>
      <w:r>
        <w:rPr>
          <w:rFonts w:ascii="Cambria" w:cs="Cambria" w:eastAsia="Cambria" w:hAnsi="Cambria"/>
          <w:sz w:val="22"/>
          <w:szCs w:val="22"/>
        </w:rPr>
        <w:t xml:space="preserve"> Transcript and follow-on notes; Garnet project corpus.</w:t>
      </w:r>
    </w:p>
    <w:p>
      <w:r>
        <w:rPr>
          <w:sz w:val="18"/>
          <w:szCs w:val="18"/>
        </w:rPr>
        <w:t xml:space="preserve"> </w:t>
      </w:r>
    </w:p>
    <w:p>
      <w:r>
        <w:rPr>
          <w:sz w:val="18"/>
          <w:szCs w:val="18"/>
        </w:rPr>
        <w:t xml:space="preserve"> </w:t>
      </w:r>
    </w:p>
    <w:p>
      <w:pPr>
        <w:spacing w:before="600"/>
        <w:jc w:val="center"/>
      </w:pPr>
      <w:r>
        <w:rPr>
          <w:rFonts w:ascii="Cambria" w:cs="Cambria" w:eastAsia="Cambria" w:hAnsi="Cambria"/>
          <w:i/>
          <w:iCs/>
          <w:sz w:val="22"/>
          <w:szCs w:val="22"/>
        </w:rPr>
        <w:t xml:space="preserve">— END OF PAPER V —</w:t>
      </w:r>
    </w:p>
    <w:p>
      <w:pPr>
        <w:spacing w:before="240"/>
        <w:jc w:val="center"/>
      </w:pPr>
      <w:r>
        <w:rPr>
          <w:rFonts w:ascii="Cambria" w:cs="Cambria" w:eastAsia="Cambria" w:hAnsi="Cambria"/>
          <w:b/>
          <w:bCs/>
          <w:sz w:val="22"/>
          <w:szCs w:val="22"/>
        </w:rPr>
        <w:t xml:space="preserve">Submittable to PLDI 2027.</w:t>
      </w:r>
    </w:p>
    <w:p>
      <w:pPr>
        <w:spacing w:before="120"/>
        <w:jc w:val="center"/>
      </w:pPr>
      <w:r>
        <w:rPr>
          <w:rFonts w:ascii="Cambria" w:cs="Cambria" w:eastAsia="Cambria" w:hAnsi="Cambria"/>
          <w:i/>
          <w:iCs/>
          <w:sz w:val="22"/>
          <w:szCs w:val="22"/>
        </w:rPr>
        <w:t xml:space="preserve">Garnet. Safe by default. Fast when needed. Joyful always.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55555"/>
        <w:sz w:val="18"/>
        <w:szCs w:val="18"/>
      </w:rPr>
      <w:t xml:space="preserve">Page </w:t>
    </w:r>
    <w:r>
      <w:rPr>
        <w:rFonts w:ascii="Cambria" w:cs="Cambria" w:eastAsia="Cambria" w:hAnsi="Cambria"/>
        <w:color w:val="555555"/>
        <w:sz w:val="18"/>
        <w:szCs w:val="18"/>
      </w:rPr>
      <w:fldChar w:fldCharType="begin"/>
      <w:instrText xml:space="preserve">PAGE</w:instrText>
      <w:fldChar w:fldCharType="separate"/>
      <w:fldChar w:fldCharType="end"/>
    </w:r>
    <w:r>
      <w:rPr>
        <w:rFonts w:ascii="Cambria" w:cs="Cambria" w:eastAsia="Cambria" w:hAnsi="Cambria"/>
        <w:color w:val="555555"/>
        <w:sz w:val="18"/>
        <w:szCs w:val="18"/>
      </w:rPr>
      <w:t xml:space="preserve"> of </w:t>
    </w:r>
    <w:r>
      <w:rPr>
        <w:rFonts w:ascii="Cambria" w:cs="Cambria" w:eastAsia="Cambria" w:hAnsi="Cambria"/>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555555"/>
        <w:sz w:val="18"/>
        <w:szCs w:val="18"/>
      </w:rPr>
      <w:t xml:space="preserve">Garnet — Paper V — The Formal Grounding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2"/>
      <w:szCs w:val="32"/>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Formal Grounding of Garnet</dc:title>
  <dc:creator>Garnet Language Project</dc:creator>
  <dc:description>Paper V — Affine type theory, RustBelt, and the mathematics of mode boundaries</dc:description>
  <cp:lastModifiedBy>Un-named</cp:lastModifiedBy>
  <cp:revision>1</cp:revision>
  <dcterms:created xsi:type="dcterms:W3CDTF">2026-04-13T09:39:40.742Z</dcterms:created>
  <dcterms:modified xsi:type="dcterms:W3CDTF">2026-04-13T09:39:40.743Z</dcterms:modified>
</cp:coreProperties>
</file>

<file path=docProps/custom.xml><?xml version="1.0" encoding="utf-8"?>
<Properties xmlns="http://schemas.openxmlformats.org/officeDocument/2006/custom-properties" xmlns:vt="http://schemas.openxmlformats.org/officeDocument/2006/docPropsVTypes"/>
</file>