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4lz8uzdxchk" w:id="0"/>
      <w:bookmarkEnd w:id="0"/>
      <w:r w:rsidDel="00000000" w:rsidR="00000000" w:rsidRPr="00000000">
        <w:rPr>
          <w:rtl w:val="0"/>
        </w:rPr>
        <w:t xml:space="preserve">ICG Hack/Doc Code of Conduct</w:t>
      </w:r>
    </w:p>
    <w:p w:rsidR="00000000" w:rsidDel="00000000" w:rsidP="00000000" w:rsidRDefault="00000000" w:rsidRPr="00000000">
      <w:pPr>
        <w:pBdr/>
        <w:contextualSpacing w:val="0"/>
        <w:rPr/>
      </w:pPr>
      <w:r w:rsidDel="00000000" w:rsidR="00000000" w:rsidRPr="00000000">
        <w:rPr>
          <w:rtl w:val="0"/>
        </w:rPr>
        <w:t xml:space="preserve">(with great reliance on the </w:t>
      </w:r>
      <w:hyperlink r:id="rId5">
        <w:r w:rsidDel="00000000" w:rsidR="00000000" w:rsidRPr="00000000">
          <w:rPr>
            <w:color w:val="1155cc"/>
            <w:u w:val="single"/>
            <w:rtl w:val="0"/>
          </w:rPr>
          <w:t xml:space="preserve">DLF Code of Conduct</w:t>
        </w:r>
      </w:hyperlink>
      <w:r w:rsidDel="00000000" w:rsidR="00000000" w:rsidRPr="00000000">
        <w:rPr>
          <w:rtl w:val="0"/>
        </w:rPr>
        <w:t xml:space="preserve">, </w:t>
      </w:r>
      <w:hyperlink r:id="rId6">
        <w:r w:rsidDel="00000000" w:rsidR="00000000" w:rsidRPr="00000000">
          <w:rPr>
            <w:color w:val="1155cc"/>
            <w:u w:val="single"/>
            <w:rtl w:val="0"/>
          </w:rPr>
          <w:t xml:space="preserve">The Recurse Center</w:t>
        </w:r>
      </w:hyperlink>
      <w:r w:rsidDel="00000000" w:rsidR="00000000" w:rsidRPr="00000000">
        <w:rPr>
          <w:rtl w:val="0"/>
        </w:rPr>
        <w:t xml:space="preserve"> and the </w:t>
      </w:r>
      <w:hyperlink r:id="rId7">
        <w:r w:rsidDel="00000000" w:rsidR="00000000" w:rsidRPr="00000000">
          <w:rPr>
            <w:color w:val="1155cc"/>
            <w:u w:val="single"/>
            <w:rtl w:val="0"/>
          </w:rPr>
          <w:t xml:space="preserve">Ansible Code of Conduct</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How to Be</w:t>
      </w:r>
      <w:r w:rsidDel="00000000" w:rsidR="00000000" w:rsidRPr="00000000">
        <w:rPr>
          <w:rtl w:val="0"/>
        </w:rPr>
        <w:t xml:space="preserve"> (barely paraphrased from the DLF Code of Conduct)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are dedicated to providing collaborative experiences that are free from all forms of harassment, and inclusive of all people. Small actions you can take will help us meet this goal. For instance, we suggest: listening as much as you speak and remembering that colleagues may have expertise you are unaware of; encouraging and yielding the floor to those whose viewpoints may be under-represented in a group; using welcoming language, for instance by honoring pronoun preferences and favoring gender-neutral collective nouns (“people,” not “guys”); accepting critique graciously and offering it constructively; giving credit where it is due; seeking concrete ways to make physical spaces and online resources more universally accessible; and staying alert to the welfare of those around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Wesleyan University says:</w:t>
      </w:r>
    </w:p>
    <w:p w:rsidR="00000000" w:rsidDel="00000000" w:rsidP="00000000" w:rsidRDefault="00000000" w:rsidRPr="00000000">
      <w:pPr>
        <w:pBdr/>
        <w:contextualSpacing w:val="0"/>
        <w:rPr/>
      </w:pPr>
      <w:r w:rsidDel="00000000" w:rsidR="00000000" w:rsidRPr="00000000">
        <w:rPr>
          <w:rtl w:val="0"/>
        </w:rPr>
        <w:t xml:space="preserve">Concern for the sensibilities and rights of others, civility, decorum, and a sense of appropriateness are expected.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The Recurse Center </w:t>
      </w:r>
      <w:r w:rsidDel="00000000" w:rsidR="00000000" w:rsidRPr="00000000">
        <w:rPr>
          <w:rtl w:val="0"/>
        </w:rPr>
        <w:t xml:space="preserve">has created this excellent </w:t>
      </w:r>
      <w:hyperlink r:id="rId8">
        <w:r w:rsidDel="00000000" w:rsidR="00000000" w:rsidRPr="00000000">
          <w:rPr>
            <w:color w:val="1155cc"/>
            <w:u w:val="single"/>
            <w:rtl w:val="0"/>
          </w:rPr>
          <w:t xml:space="preserve">User’s Manual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And more from Ansible</w:t>
      </w:r>
      <w:r w:rsidDel="00000000" w:rsidR="00000000" w:rsidRPr="00000000">
        <w:rPr>
          <w:rtl w:val="0"/>
        </w:rPr>
        <w:t xml:space="preserve"> (paraphrased)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 kind to others. Do not insult or put down other attendees. Behave professionally. Remember that harassment and sexist, racist, or exclusionary jokes are not appropriate for ICG hackdocs.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violating these rules may be asked to leave the event at the sole discretion of the event organizers.</w:t>
      </w:r>
    </w:p>
    <w:p w:rsidR="00000000" w:rsidDel="00000000" w:rsidP="00000000" w:rsidRDefault="00000000" w:rsidRPr="00000000">
      <w:pPr>
        <w:pBdr/>
        <w:contextualSpacing w:val="0"/>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diglib.org/about/code-of-conduct/" TargetMode="External"/><Relationship Id="rId6" Type="http://schemas.openxmlformats.org/officeDocument/2006/relationships/hyperlink" Target="https://www.recurse.com/manual#sub-sec-social-rules" TargetMode="External"/><Relationship Id="rId7" Type="http://schemas.openxmlformats.org/officeDocument/2006/relationships/hyperlink" Target="https://www.ansible.com/code-of-conduct" TargetMode="External"/><Relationship Id="rId8" Type="http://schemas.openxmlformats.org/officeDocument/2006/relationships/hyperlink" Target="https://www.recurse.com/manual#sub-sec-social-rules" TargetMode="External"/></Relationships>
</file>