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sz w:val="20"/>
          <w:szCs w:val="20"/>
          <w:u w:val="single"/>
        </w:rPr>
      </w:pPr>
      <w:r w:rsidDel="00000000" w:rsidR="00000000" w:rsidRPr="00000000">
        <w:rPr>
          <w:sz w:val="20"/>
          <w:szCs w:val="20"/>
          <w:u w:val="single"/>
          <w:rtl w:val="0"/>
        </w:rPr>
        <w:t xml:space="preserve">Documentation: Help with Ansible</w:t>
      </w:r>
    </w:p>
    <w:p w:rsidR="00000000" w:rsidDel="00000000" w:rsidP="00000000" w:rsidRDefault="00000000" w:rsidRPr="00000000">
      <w:pPr>
        <w:pBdr/>
        <w:contextualSpacing w:val="0"/>
        <w:rPr>
          <w:sz w:val="20"/>
          <w:szCs w:val="20"/>
        </w:rPr>
      </w:pPr>
      <w:r w:rsidDel="00000000" w:rsidR="00000000" w:rsidRPr="00000000">
        <w:rPr>
          <w:rtl w:val="0"/>
        </w:rPr>
      </w:r>
    </w:p>
    <w:tbl>
      <w:tblPr>
        <w:tblStyle w:val="Table1"/>
        <w:bidiVisual w:val="0"/>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i w:val="1"/>
                <w:sz w:val="20"/>
                <w:szCs w:val="20"/>
              </w:rPr>
            </w:pPr>
            <w:r w:rsidDel="00000000" w:rsidR="00000000" w:rsidRPr="00000000">
              <w:rPr>
                <w:i w:val="1"/>
                <w:sz w:val="20"/>
                <w:szCs w:val="20"/>
                <w:u w:val="single"/>
                <w:rtl w:val="0"/>
              </w:rPr>
              <w:t xml:space="preserve">Table of Contents</w:t>
            </w:r>
            <w:r w:rsidDel="00000000" w:rsidR="00000000" w:rsidRPr="00000000">
              <w:rPr>
                <w:i w:val="1"/>
                <w:sz w:val="20"/>
                <w:szCs w:val="20"/>
                <w:rtl w:val="0"/>
              </w:rPr>
              <w:t xml:space="preserve">: The TOC is auto-created by using “Headings”. To update, click below, then click the “Update table of contents” button.</w:t>
            </w:r>
          </w:p>
          <w:p w:rsidR="00000000" w:rsidDel="00000000" w:rsidP="00000000" w:rsidRDefault="00000000" w:rsidRPr="00000000">
            <w:pPr>
              <w:pBdr/>
              <w:contextualSpacing w:val="0"/>
              <w:rPr>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w3ugnw40xzqq">
                  <w:r w:rsidDel="00000000" w:rsidR="00000000" w:rsidRPr="00000000">
                    <w:rPr>
                      <w:color w:val="1155cc"/>
                      <w:u w:val="single"/>
                      <w:rtl w:val="0"/>
                    </w:rPr>
                    <w:t xml:space="preserve">* Glossary</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39s2n3st2jk">
                  <w:r w:rsidDel="00000000" w:rsidR="00000000" w:rsidRPr="00000000">
                    <w:rPr>
                      <w:color w:val="1155cc"/>
                      <w:u w:val="single"/>
                      <w:rtl w:val="0"/>
                    </w:rPr>
                    <w:t xml:space="preserve">Important: Recommended Order of Installation</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ckbdmlbuwlqf">
                  <w:r w:rsidDel="00000000" w:rsidR="00000000" w:rsidRPr="00000000">
                    <w:rPr>
                      <w:color w:val="1155cc"/>
                      <w:u w:val="single"/>
                      <w:rtl w:val="0"/>
                    </w:rPr>
                    <w:t xml:space="preserve">Install Ansible on PC (requires Windows 10 Ubuntu bash) or Mac</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gp1xls77q9jn">
                  <w:r w:rsidDel="00000000" w:rsidR="00000000" w:rsidRPr="00000000">
                    <w:rPr>
                      <w:color w:val="1155cc"/>
                      <w:u w:val="single"/>
                      <w:rtl w:val="0"/>
                    </w:rPr>
                    <w:t xml:space="preserve">Ansible Components</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t1szr15kuaaa">
                  <w:r w:rsidDel="00000000" w:rsidR="00000000" w:rsidRPr="00000000">
                    <w:rPr>
                      <w:color w:val="1155cc"/>
                      <w:u w:val="single"/>
                      <w:rtl w:val="0"/>
                    </w:rPr>
                    <w:t xml:space="preserve">Ansible Commands</w:t>
                  </w:r>
                </w:hyperlink>
                <w:r w:rsidDel="00000000" w:rsidR="00000000" w:rsidRPr="00000000">
                  <w:rPr>
                    <w:rtl w:val="0"/>
                  </w:rPr>
                </w:r>
              </w:p>
              <w:p w:rsidR="00000000" w:rsidDel="00000000" w:rsidP="00000000" w:rsidRDefault="00000000" w:rsidRPr="00000000">
                <w:pPr>
                  <w:pBdr/>
                  <w:spacing w:before="200" w:line="240" w:lineRule="auto"/>
                  <w:ind w:left="0" w:firstLine="0"/>
                  <w:contextualSpacing w:val="0"/>
                  <w:rPr>
                    <w:color w:val="1155cc"/>
                    <w:u w:val="single"/>
                  </w:rPr>
                </w:pPr>
                <w:hyperlink w:anchor="_vp1l163w538m">
                  <w:r w:rsidDel="00000000" w:rsidR="00000000" w:rsidRPr="00000000">
                    <w:rPr>
                      <w:color w:val="1155cc"/>
                      <w:u w:val="single"/>
                      <w:rtl w:val="0"/>
                    </w:rPr>
                    <w:t xml:space="preserve">Ansible Host_vars</w:t>
                  </w:r>
                </w:hyperlink>
                <w:r w:rsidDel="00000000" w:rsidR="00000000" w:rsidRPr="00000000">
                  <w:rPr>
                    <w:rtl w:val="0"/>
                  </w:rPr>
                </w:r>
              </w:p>
              <w:p w:rsidR="00000000" w:rsidDel="00000000" w:rsidP="00000000" w:rsidRDefault="00000000" w:rsidRPr="00000000">
                <w:pPr>
                  <w:pBdr/>
                  <w:spacing w:after="80" w:before="200" w:line="240" w:lineRule="auto"/>
                  <w:ind w:left="0" w:firstLine="0"/>
                  <w:contextualSpacing w:val="0"/>
                  <w:rPr>
                    <w:color w:val="1155cc"/>
                    <w:u w:val="single"/>
                  </w:rPr>
                </w:pPr>
                <w:hyperlink w:anchor="_6ysy3t5xsv4s">
                  <w:r w:rsidDel="00000000" w:rsidR="00000000" w:rsidRPr="00000000">
                    <w:rPr>
                      <w:color w:val="1155cc"/>
                      <w:u w:val="single"/>
                      <w:rtl w:val="0"/>
                    </w:rPr>
                    <w:t xml:space="preserve">More Great Help Documentation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widowControl w:val="0"/>
              <w:pBdr/>
              <w:spacing w:line="240" w:lineRule="auto"/>
              <w:contextualSpacing w:val="0"/>
              <w:rPr>
                <w:sz w:val="20"/>
                <w:szCs w:val="20"/>
              </w:rPr>
            </w:pPr>
            <w:r w:rsidDel="00000000" w:rsidR="00000000" w:rsidRPr="00000000">
              <w:rPr>
                <w:rtl w:val="0"/>
              </w:rPr>
            </w:r>
          </w:p>
        </w:tc>
      </w:tr>
    </w:tbl>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w3ugnw40xzqq" w:id="0"/>
      <w:bookmarkEnd w:id="0"/>
      <w:hyperlink r:id="rId5">
        <w:r w:rsidDel="00000000" w:rsidR="00000000" w:rsidRPr="00000000">
          <w:rPr>
            <w:color w:val="1155cc"/>
            <w:u w:val="single"/>
            <w:rtl w:val="0"/>
          </w:rPr>
          <w:t xml:space="preserve">* Glossary</w:t>
        </w:r>
      </w:hyperlink>
      <w:r w:rsidDel="00000000" w:rsidR="00000000" w:rsidRPr="00000000">
        <w:rPr>
          <w:rtl w:val="0"/>
        </w:rPr>
      </w:r>
    </w:p>
    <w:p w:rsidR="00000000" w:rsidDel="00000000" w:rsidP="00000000" w:rsidRDefault="00000000" w:rsidRPr="00000000">
      <w:pPr>
        <w:numPr>
          <w:ilvl w:val="0"/>
          <w:numId w:val="5"/>
        </w:numPr>
        <w:pBdr/>
        <w:ind w:left="720" w:hanging="360"/>
        <w:contextualSpacing w:val="1"/>
        <w:rPr>
          <w:sz w:val="20"/>
          <w:szCs w:val="20"/>
          <w:u w:val="none"/>
        </w:rPr>
      </w:pPr>
      <w:r w:rsidDel="00000000" w:rsidR="00000000" w:rsidRPr="00000000">
        <w:rPr>
          <w:b w:val="1"/>
          <w:sz w:val="20"/>
          <w:szCs w:val="20"/>
          <w:rtl w:val="0"/>
        </w:rPr>
        <w:t xml:space="preserve">Ansible</w:t>
      </w:r>
      <w:r w:rsidDel="00000000" w:rsidR="00000000" w:rsidRPr="00000000">
        <w:rPr>
          <w:sz w:val="20"/>
          <w:szCs w:val="20"/>
          <w:rtl w:val="0"/>
        </w:rPr>
        <w:t xml:space="preserve"> - Ansible is a free-software platform seamlessly unites workflow orchestration with configuration management, provisioning, and application deployment in one easy-to-use and deploy platform. It combines multi-node software deployment, ad hoc task execution, and configuration management. It manages nodes over SSH or over PowerShell. Modules work over JSON and standard output and can be written in any programming language. The system uses YAML to express reusable descriptions of systems.</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39s2n3st2jk" w:id="1"/>
      <w:bookmarkEnd w:id="1"/>
      <w:r w:rsidDel="00000000" w:rsidR="00000000" w:rsidRPr="00000000">
        <w:rPr>
          <w:rtl w:val="0"/>
        </w:rPr>
        <w:t xml:space="preserve">Important: Recommended Order of Installation</w:t>
      </w:r>
    </w:p>
    <w:p w:rsidR="00000000" w:rsidDel="00000000" w:rsidP="00000000" w:rsidRDefault="00000000" w:rsidRPr="00000000">
      <w:pPr>
        <w:numPr>
          <w:ilvl w:val="0"/>
          <w:numId w:val="4"/>
        </w:numPr>
        <w:pBdr/>
        <w:ind w:left="720" w:hanging="360"/>
        <w:contextualSpacing w:val="1"/>
        <w:rPr>
          <w:sz w:val="22"/>
          <w:szCs w:val="22"/>
        </w:rPr>
      </w:pPr>
      <w:r w:rsidDel="00000000" w:rsidR="00000000" w:rsidRPr="00000000">
        <w:rPr>
          <w:rtl w:val="0"/>
        </w:rPr>
        <w:t xml:space="preserve">Install git</w:t>
      </w:r>
    </w:p>
    <w:p w:rsidR="00000000" w:rsidDel="00000000" w:rsidP="00000000" w:rsidRDefault="00000000" w:rsidRPr="00000000">
      <w:pPr>
        <w:numPr>
          <w:ilvl w:val="0"/>
          <w:numId w:val="4"/>
        </w:numPr>
        <w:pBdr/>
        <w:ind w:left="720" w:hanging="360"/>
        <w:contextualSpacing w:val="1"/>
        <w:rPr>
          <w:sz w:val="22"/>
          <w:szCs w:val="22"/>
        </w:rPr>
      </w:pPr>
      <w:r w:rsidDel="00000000" w:rsidR="00000000" w:rsidRPr="00000000">
        <w:rPr>
          <w:rtl w:val="0"/>
        </w:rPr>
        <w:t xml:space="preserve">Install virtualbox</w:t>
      </w:r>
    </w:p>
    <w:p w:rsidR="00000000" w:rsidDel="00000000" w:rsidP="00000000" w:rsidRDefault="00000000" w:rsidRPr="00000000">
      <w:pPr>
        <w:numPr>
          <w:ilvl w:val="0"/>
          <w:numId w:val="4"/>
        </w:numPr>
        <w:pBdr/>
        <w:ind w:left="720" w:hanging="360"/>
        <w:contextualSpacing w:val="1"/>
        <w:rPr>
          <w:sz w:val="22"/>
          <w:szCs w:val="22"/>
        </w:rPr>
      </w:pPr>
      <w:r w:rsidDel="00000000" w:rsidR="00000000" w:rsidRPr="00000000">
        <w:rPr>
          <w:rtl w:val="0"/>
        </w:rPr>
        <w:t xml:space="preserve">Install vagrant</w:t>
      </w:r>
    </w:p>
    <w:p w:rsidR="00000000" w:rsidDel="00000000" w:rsidP="00000000" w:rsidRDefault="00000000" w:rsidRPr="00000000">
      <w:pPr>
        <w:numPr>
          <w:ilvl w:val="0"/>
          <w:numId w:val="4"/>
        </w:numPr>
        <w:pBdr/>
        <w:ind w:left="720" w:hanging="360"/>
        <w:contextualSpacing w:val="1"/>
        <w:rPr>
          <w:sz w:val="22"/>
          <w:szCs w:val="22"/>
        </w:rPr>
      </w:pPr>
      <w:r w:rsidDel="00000000" w:rsidR="00000000" w:rsidRPr="00000000">
        <w:rPr>
          <w:rtl w:val="0"/>
        </w:rPr>
        <w:t xml:space="preserve">Install ansible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spacing w:after="240" w:before="360" w:line="300" w:lineRule="auto"/>
        <w:contextualSpacing w:val="0"/>
        <w:rPr/>
      </w:pPr>
      <w:bookmarkStart w:colFirst="0" w:colLast="0" w:name="_ckbdmlbuwlqf" w:id="2"/>
      <w:bookmarkEnd w:id="2"/>
      <w:r w:rsidDel="00000000" w:rsidR="00000000" w:rsidRPr="00000000">
        <w:rPr>
          <w:rtl w:val="0"/>
        </w:rPr>
        <w:t xml:space="preserve">Install Ansible on PC (requires </w:t>
      </w:r>
      <w:hyperlink r:id="rId6">
        <w:r w:rsidDel="00000000" w:rsidR="00000000" w:rsidRPr="00000000">
          <w:rPr>
            <w:color w:val="1155cc"/>
            <w:u w:val="single"/>
            <w:rtl w:val="0"/>
          </w:rPr>
          <w:t xml:space="preserve">Windows 10 Ubuntu bash</w:t>
        </w:r>
      </w:hyperlink>
      <w:r w:rsidDel="00000000" w:rsidR="00000000" w:rsidRPr="00000000">
        <w:rPr>
          <w:rtl w:val="0"/>
        </w:rPr>
        <w:t xml:space="preserve">) or Mac</w:t>
      </w:r>
    </w:p>
    <w:p w:rsidR="00000000" w:rsidDel="00000000" w:rsidP="00000000" w:rsidRDefault="00000000" w:rsidRPr="00000000">
      <w:pPr>
        <w:pBdr/>
        <w:contextualSpacing w:val="0"/>
        <w:rPr/>
      </w:pPr>
      <w:r w:rsidDel="00000000" w:rsidR="00000000" w:rsidRPr="00000000">
        <w:rPr>
          <w:rtl w:val="0"/>
        </w:rPr>
        <w:t xml:space="preserve">Download: </w:t>
      </w:r>
      <w:hyperlink r:id="rId7">
        <w:r w:rsidDel="00000000" w:rsidR="00000000" w:rsidRPr="00000000">
          <w:rPr>
            <w:color w:val="1155cc"/>
            <w:u w:val="single"/>
            <w:rtl w:val="0"/>
          </w:rPr>
          <w:t xml:space="preserve">http://docs.ansible.com/ansible/intro_installation.html</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b w:val="1"/>
          <w:rtl w:val="0"/>
        </w:rPr>
        <w:t xml:space="preserve">Stay updated by installing the newest release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gp1xls77q9jn" w:id="3"/>
      <w:bookmarkEnd w:id="3"/>
      <w:r w:rsidDel="00000000" w:rsidR="00000000" w:rsidRPr="00000000">
        <w:rPr>
          <w:rtl w:val="0"/>
        </w:rPr>
        <w:t xml:space="preserve">Ansible Components</w:t>
      </w:r>
    </w:p>
    <w:p w:rsidR="00000000" w:rsidDel="00000000" w:rsidP="00000000" w:rsidRDefault="00000000" w:rsidRPr="00000000">
      <w:pPr>
        <w:widowControl w:val="0"/>
        <w:numPr>
          <w:ilvl w:val="0"/>
          <w:numId w:val="6"/>
        </w:numPr>
        <w:pBdr/>
        <w:spacing w:after="200" w:lineRule="auto"/>
        <w:ind w:left="720" w:hanging="360"/>
        <w:contextualSpacing w:val="1"/>
        <w:rPr>
          <w:u w:val="none"/>
        </w:rPr>
      </w:pPr>
      <w:r w:rsidDel="00000000" w:rsidR="00000000" w:rsidRPr="00000000">
        <w:rPr>
          <w:rtl w:val="0"/>
        </w:rPr>
        <w:t xml:space="preserve">Plays - Ansible steps or actions </w:t>
      </w:r>
    </w:p>
    <w:p w:rsidR="00000000" w:rsidDel="00000000" w:rsidP="00000000" w:rsidRDefault="00000000" w:rsidRPr="00000000">
      <w:pPr>
        <w:widowControl w:val="0"/>
        <w:numPr>
          <w:ilvl w:val="1"/>
          <w:numId w:val="6"/>
        </w:numPr>
        <w:pBdr/>
        <w:ind w:left="1440" w:hanging="360"/>
        <w:contextualSpacing w:val="1"/>
        <w:rPr>
          <w:u w:val="none"/>
        </w:rPr>
      </w:pPr>
      <w:r w:rsidDel="00000000" w:rsidR="00000000" w:rsidRPr="00000000">
        <w:rPr>
          <w:rtl w:val="0"/>
        </w:rPr>
        <w:t xml:space="preserve">Roles (they organize the tasks)</w:t>
      </w:r>
    </w:p>
    <w:p w:rsidR="00000000" w:rsidDel="00000000" w:rsidP="00000000" w:rsidRDefault="00000000" w:rsidRPr="00000000">
      <w:pPr>
        <w:widowControl w:val="0"/>
        <w:numPr>
          <w:ilvl w:val="1"/>
          <w:numId w:val="6"/>
        </w:numPr>
        <w:pBdr/>
        <w:ind w:left="1440" w:hanging="360"/>
        <w:contextualSpacing w:val="1"/>
        <w:rPr>
          <w:u w:val="none"/>
        </w:rPr>
      </w:pPr>
      <w:r w:rsidDel="00000000" w:rsidR="00000000" w:rsidRPr="00000000">
        <w:rPr>
          <w:rtl w:val="0"/>
        </w:rPr>
        <w:t xml:space="preserve">Tasks (the steps or actions defined for a specific package or series of commands)</w:t>
      </w:r>
    </w:p>
    <w:p w:rsidR="00000000" w:rsidDel="00000000" w:rsidP="00000000" w:rsidRDefault="00000000" w:rsidRPr="00000000">
      <w:pPr>
        <w:widowControl w:val="0"/>
        <w:numPr>
          <w:ilvl w:val="1"/>
          <w:numId w:val="6"/>
        </w:numPr>
        <w:pBdr/>
        <w:ind w:left="1440" w:hanging="360"/>
        <w:contextualSpacing w:val="1"/>
        <w:rPr>
          <w:u w:val="none"/>
        </w:rPr>
      </w:pPr>
      <w:r w:rsidDel="00000000" w:rsidR="00000000" w:rsidRPr="00000000">
        <w:rPr>
          <w:rtl w:val="0"/>
        </w:rPr>
        <w:t xml:space="preserve">Files (files to be copied from the host (laptop) to the guest (Vagrant box, remote server etc.)</w:t>
      </w:r>
    </w:p>
    <w:p w:rsidR="00000000" w:rsidDel="00000000" w:rsidP="00000000" w:rsidRDefault="00000000" w:rsidRPr="00000000">
      <w:pPr>
        <w:widowControl w:val="0"/>
        <w:numPr>
          <w:ilvl w:val="1"/>
          <w:numId w:val="6"/>
        </w:numPr>
        <w:pBdr/>
        <w:ind w:left="1440" w:hanging="360"/>
        <w:contextualSpacing w:val="1"/>
        <w:rPr>
          <w:u w:val="none"/>
        </w:rPr>
      </w:pPr>
      <w:r w:rsidDel="00000000" w:rsidR="00000000" w:rsidRPr="00000000">
        <w:rPr>
          <w:rtl w:val="0"/>
        </w:rPr>
        <w:t xml:space="preserve">Templates (files that can have defined variables thus “templated”)</w:t>
      </w:r>
    </w:p>
    <w:p w:rsidR="00000000" w:rsidDel="00000000" w:rsidP="00000000" w:rsidRDefault="00000000" w:rsidRPr="00000000">
      <w:pPr>
        <w:widowControl w:val="0"/>
        <w:numPr>
          <w:ilvl w:val="1"/>
          <w:numId w:val="6"/>
        </w:numPr>
        <w:pBdr/>
        <w:ind w:left="1440" w:hanging="360"/>
        <w:contextualSpacing w:val="1"/>
        <w:rPr>
          <w:u w:val="none"/>
        </w:rPr>
      </w:pPr>
      <w:r w:rsidDel="00000000" w:rsidR="00000000" w:rsidRPr="00000000">
        <w:rPr>
          <w:rtl w:val="0"/>
        </w:rPr>
        <w:t xml:space="preserve">Defaults (group and host_vars for Playbooks) used to be known as vars (local to role)</w:t>
      </w:r>
    </w:p>
    <w:p w:rsidR="00000000" w:rsidDel="00000000" w:rsidP="00000000" w:rsidRDefault="00000000" w:rsidRPr="00000000">
      <w:pPr>
        <w:widowControl w:val="0"/>
        <w:numPr>
          <w:ilvl w:val="1"/>
          <w:numId w:val="6"/>
        </w:numPr>
        <w:pBdr/>
        <w:spacing w:after="200" w:lineRule="auto"/>
        <w:ind w:left="1440" w:hanging="360"/>
        <w:contextualSpacing w:val="1"/>
        <w:rPr>
          <w:u w:val="none"/>
        </w:rPr>
      </w:pPr>
      <w:r w:rsidDel="00000000" w:rsidR="00000000" w:rsidRPr="00000000">
        <w:rPr>
          <w:rtl w:val="0"/>
        </w:rPr>
        <w:t xml:space="preserve">Handlers (timed actions or dependent on other roles finishing prior to execution)</w:t>
      </w:r>
    </w:p>
    <w:p w:rsidR="00000000" w:rsidDel="00000000" w:rsidP="00000000" w:rsidRDefault="00000000" w:rsidRPr="00000000">
      <w:pPr>
        <w:widowControl w:val="0"/>
        <w:numPr>
          <w:ilvl w:val="0"/>
          <w:numId w:val="6"/>
        </w:numPr>
        <w:pBdr/>
        <w:spacing w:after="200" w:lineRule="auto"/>
        <w:ind w:left="720" w:hanging="360"/>
        <w:contextualSpacing w:val="1"/>
        <w:rPr>
          <w:u w:val="none"/>
        </w:rPr>
      </w:pPr>
      <w:r w:rsidDel="00000000" w:rsidR="00000000" w:rsidRPr="00000000">
        <w:rPr>
          <w:rtl w:val="0"/>
        </w:rPr>
        <w:t xml:space="preserve">Playbooks - Contain the commands that configure the targets. (written in YML)</w:t>
      </w:r>
    </w:p>
    <w:p w:rsidR="00000000" w:rsidDel="00000000" w:rsidP="00000000" w:rsidRDefault="00000000" w:rsidRPr="00000000">
      <w:pPr>
        <w:widowControl w:val="0"/>
        <w:numPr>
          <w:ilvl w:val="0"/>
          <w:numId w:val="6"/>
        </w:numPr>
        <w:pBdr/>
        <w:spacing w:after="200" w:lineRule="auto"/>
        <w:ind w:left="720" w:hanging="360"/>
        <w:contextualSpacing w:val="1"/>
        <w:rPr>
          <w:u w:val="none"/>
        </w:rPr>
      </w:pPr>
      <w:r w:rsidDel="00000000" w:rsidR="00000000" w:rsidRPr="00000000">
        <w:rPr>
          <w:rtl w:val="0"/>
        </w:rPr>
        <w:t xml:space="preserve">Inventory - List of managed hosts (servers, VMs). Can be formed in to groups</w:t>
      </w:r>
    </w:p>
    <w:p w:rsidR="00000000" w:rsidDel="00000000" w:rsidP="00000000" w:rsidRDefault="00000000" w:rsidRPr="00000000">
      <w:pPr>
        <w:widowControl w:val="0"/>
        <w:numPr>
          <w:ilvl w:val="0"/>
          <w:numId w:val="6"/>
        </w:numPr>
        <w:pBdr/>
        <w:spacing w:after="200" w:lineRule="auto"/>
        <w:ind w:left="720" w:hanging="360"/>
        <w:contextualSpacing w:val="1"/>
        <w:rPr>
          <w:u w:val="none"/>
        </w:rPr>
      </w:pPr>
      <w:r w:rsidDel="00000000" w:rsidR="00000000" w:rsidRPr="00000000">
        <w:rPr>
          <w:rtl w:val="0"/>
        </w:rPr>
        <w:t xml:space="preserve">ansible.cfg - How Ansible itself is configured</w:t>
      </w:r>
    </w:p>
    <w:p w:rsidR="00000000" w:rsidDel="00000000" w:rsidP="00000000" w:rsidRDefault="00000000" w:rsidRPr="00000000">
      <w:pPr>
        <w:widowControl w:val="0"/>
        <w:numPr>
          <w:ilvl w:val="0"/>
          <w:numId w:val="6"/>
        </w:numPr>
        <w:pBdr/>
        <w:spacing w:after="200" w:lineRule="auto"/>
        <w:ind w:left="720" w:hanging="360"/>
        <w:contextualSpacing w:val="1"/>
        <w:rPr>
          <w:u w:val="none"/>
        </w:rPr>
      </w:pPr>
      <w:r w:rsidDel="00000000" w:rsidR="00000000" w:rsidRPr="00000000">
        <w:rPr>
          <w:rtl w:val="0"/>
        </w:rPr>
        <w:t xml:space="preserve">Modules -Ansible ships with a number of modules that can be executed directly on remote hosts or through Playbooks</w:t>
      </w:r>
    </w:p>
    <w:p w:rsidR="00000000" w:rsidDel="00000000" w:rsidP="00000000" w:rsidRDefault="00000000" w:rsidRPr="00000000">
      <w:pPr>
        <w:pBdr/>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t1szr15kuaaa" w:id="4"/>
      <w:bookmarkEnd w:id="4"/>
      <w:r w:rsidDel="00000000" w:rsidR="00000000" w:rsidRPr="00000000">
        <w:rPr>
          <w:rtl w:val="0"/>
        </w:rPr>
        <w:t xml:space="preserve">Ansible Commands</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Ad-hoc commands - An ad-hoc command is to do something really quick, but don’t want to save for later. Often used with tags</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ansible-playbook -i inventory playbook.yml --tags”mysql” (run a specific role)</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ansible webservers -m git -a "repo=git://foo.example.org/repo.git dest=/srv/myapp version=HEAD" (deploy code)</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ansible webservers -m ping (ping all web servers)</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ansible webservers -m service -a "name=httpd state=started" (Ensure a service is stopped)</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Playbooks ansible-playbook -i inventory playbook.yml</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tl w:val="0"/>
        </w:rPr>
        <w:t xml:space="preserve">Playbooks can declare configurations but they can also orchestrate steps of any manual ordered process, even as different steps must bounce back and forth between sets of machines in particular orders. They can launch tasks synchronously or asynchronously.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vp1l163w538m" w:id="5"/>
      <w:bookmarkEnd w:id="5"/>
      <w:r w:rsidDel="00000000" w:rsidR="00000000" w:rsidRPr="00000000">
        <w:rPr>
          <w:rtl w:val="0"/>
        </w:rPr>
        <w:t xml:space="preserve">Ansible Host_vars</w:t>
      </w:r>
    </w:p>
    <w:p w:rsidR="00000000" w:rsidDel="00000000" w:rsidP="00000000" w:rsidRDefault="00000000" w:rsidRPr="00000000">
      <w:pPr>
        <w:pBdr/>
        <w:contextualSpacing w:val="0"/>
        <w:rPr/>
      </w:pPr>
      <w:r w:rsidDel="00000000" w:rsidR="00000000" w:rsidRPr="00000000">
        <w:rPr>
          <w:rtl w:val="0"/>
        </w:rPr>
        <w:t xml:space="preserve">Since the documentation is not very specific on this topic here is the order of precedence for vars in the current version of Ansible: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Vars set on the command line -e foo=set_on_cmd_line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Vars set in the vars_files: block in the play</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Vars set in the vars: block in the play</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Vars set in host_vars/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Vars set in group_vars/</w:t>
      </w:r>
    </w:p>
    <w:p w:rsidR="00000000" w:rsidDel="00000000" w:rsidP="00000000" w:rsidRDefault="00000000" w:rsidRPr="00000000">
      <w:pPr>
        <w:pBdr/>
        <w:contextualSpacing w:val="0"/>
        <w:rPr/>
      </w:pPr>
      <w:r w:rsidDel="00000000" w:rsidR="00000000" w:rsidRPr="00000000">
        <w:rPr>
          <w:rtl w:val="0"/>
        </w:rPr>
        <w:t xml:space="preserve">Role default vars roles/.../defaults/main.yml</w:t>
      </w:r>
    </w:p>
    <w:p w:rsidR="00000000" w:rsidDel="00000000" w:rsidP="00000000" w:rsidRDefault="00000000" w:rsidRPr="00000000">
      <w:pPr>
        <w:pBdr/>
        <w:contextualSpacing w:val="0"/>
        <w:rPr/>
      </w:pPr>
      <w:r w:rsidDel="00000000" w:rsidR="00000000" w:rsidRPr="00000000">
        <w:rPr>
          <w:rtl w:val="0"/>
        </w:rPr>
        <w:t xml:space="preserve">You should think of host_vars and group_vars more like defaults rather than overrides for defaults. If you have the same var set in you vars_files: block like you do in your example it will take precedence.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6ysy3t5xsv4s" w:id="6"/>
      <w:bookmarkEnd w:id="6"/>
      <w:r w:rsidDel="00000000" w:rsidR="00000000" w:rsidRPr="00000000">
        <w:rPr>
          <w:rtl w:val="0"/>
        </w:rPr>
        <w:t xml:space="preserve">More Great Help Documentation</w:t>
      </w:r>
    </w:p>
    <w:p w:rsidR="00000000" w:rsidDel="00000000" w:rsidP="00000000" w:rsidRDefault="00000000" w:rsidRPr="00000000">
      <w:pPr>
        <w:numPr>
          <w:ilvl w:val="0"/>
          <w:numId w:val="3"/>
        </w:numPr>
        <w:pBdr/>
        <w:ind w:left="720" w:hanging="360"/>
        <w:contextualSpacing w:val="1"/>
        <w:rPr>
          <w:color w:val="000000"/>
          <w:sz w:val="22"/>
          <w:szCs w:val="22"/>
        </w:rPr>
      </w:pPr>
      <w:hyperlink r:id="rId8">
        <w:r w:rsidDel="00000000" w:rsidR="00000000" w:rsidRPr="00000000">
          <w:rPr>
            <w:color w:val="1155cc"/>
            <w:u w:val="single"/>
            <w:rtl w:val="0"/>
          </w:rPr>
          <w:t xml:space="preserve">Ansible Getting Started</w:t>
        </w:r>
      </w:hyperlink>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hyperlink r:id="rId9">
        <w:r w:rsidDel="00000000" w:rsidR="00000000" w:rsidRPr="00000000">
          <w:rPr>
            <w:color w:val="1155cc"/>
            <w:u w:val="single"/>
            <w:rtl w:val="0"/>
          </w:rPr>
          <w:t xml:space="preserve">Ansible Docs</w:t>
        </w:r>
      </w:hyperlink>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hyperlink r:id="rId10">
        <w:r w:rsidDel="00000000" w:rsidR="00000000" w:rsidRPr="00000000">
          <w:rPr>
            <w:color w:val="1155cc"/>
            <w:u w:val="single"/>
            <w:rtl w:val="0"/>
          </w:rPr>
          <w:t xml:space="preserve">Ansible Intro to Playbooks</w:t>
        </w:r>
      </w:hyperlink>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hyperlink r:id="rId11">
        <w:r w:rsidDel="00000000" w:rsidR="00000000" w:rsidRPr="00000000">
          <w:rPr>
            <w:color w:val="1155cc"/>
            <w:u w:val="single"/>
            <w:rtl w:val="0"/>
          </w:rPr>
          <w:t xml:space="preserve">Ansible Galaxy (For Ansible Scripts)</w:t>
        </w:r>
      </w:hyperlink>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hyperlink r:id="rId12">
        <w:r w:rsidDel="00000000" w:rsidR="00000000" w:rsidRPr="00000000">
          <w:rPr>
            <w:color w:val="1155cc"/>
            <w:u w:val="single"/>
            <w:rtl w:val="0"/>
          </w:rPr>
          <w:t xml:space="preserve">Ansible Best Practices</w:t>
        </w:r>
      </w:hyperlink>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hyperlink r:id="rId13">
        <w:r w:rsidDel="00000000" w:rsidR="00000000" w:rsidRPr="00000000">
          <w:rPr>
            <w:color w:val="1155cc"/>
            <w:u w:val="single"/>
            <w:rtl w:val="0"/>
          </w:rPr>
          <w:t xml:space="preserve">Intro to Ansible</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galaxy.ansible.com/" TargetMode="External"/><Relationship Id="rId10" Type="http://schemas.openxmlformats.org/officeDocument/2006/relationships/hyperlink" Target="http://docs.ansible.com/ansible/playbooks_intro.html" TargetMode="External"/><Relationship Id="rId13" Type="http://schemas.openxmlformats.org/officeDocument/2006/relationships/hyperlink" Target="http://docs.ansible.com/ansible/intro.html" TargetMode="External"/><Relationship Id="rId12" Type="http://schemas.openxmlformats.org/officeDocument/2006/relationships/hyperlink" Target="http://docs.ansible.com/ansible/playbooks_best_practices.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cs.ansible.com/" TargetMode="External"/><Relationship Id="rId5" Type="http://schemas.openxmlformats.org/officeDocument/2006/relationships/hyperlink" Target="https://www.virtualbox.org/wiki/Documentation" TargetMode="External"/><Relationship Id="rId6" Type="http://schemas.openxmlformats.org/officeDocument/2006/relationships/hyperlink" Target="http://www.howtogeek.com/249966/how-to-install-and-use-the-linux-bash-shell-on-windows-10/" TargetMode="External"/><Relationship Id="rId7" Type="http://schemas.openxmlformats.org/officeDocument/2006/relationships/hyperlink" Target="http://docs.ansible.com/ansible/intro_installation.html" TargetMode="External"/><Relationship Id="rId8" Type="http://schemas.openxmlformats.org/officeDocument/2006/relationships/hyperlink" Target="https://www.ansible.com/get-started" TargetMode="External"/></Relationships>
</file>