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微软雅黑"/>
          <w:b/>
          <w:sz w:val="36"/>
        </w:rPr>
        <w:t>消融实验报告</w:t>
      </w:r>
    </w:p>
    <w:p>
      <w:pPr>
        <w:spacing w:after="120" w:before="0" w:line="300" w:lineRule="auto"/>
        <w:jc w:val="center"/>
      </w:pPr>
      <w:r>
        <w:rPr>
          <w:rFonts w:ascii="Times New Roman" w:hAnsi="Times New Roman" w:eastAsia="宋体"/>
          <w:b w:val="0"/>
          <w:sz w:val="19"/>
        </w:rPr>
        <w:t>模型：A（基线）/ E（+CBAM）/ C（+MSFF）/ D（MSFF+CBAM）；seed 42</w:t>
      </w:r>
    </w:p>
    <w:p>
      <w:pPr>
        <w:spacing w:after="80" w:before="160" w:line="300" w:lineRule="auto"/>
        <w:jc w:val="left"/>
      </w:pPr>
      <w:r>
        <w:rPr>
          <w:rFonts w:ascii="Microsoft YaHei" w:hAnsi="Microsoft YaHei" w:eastAsia="微软雅黑"/>
          <w:b/>
          <w:sz w:val="26"/>
        </w:rPr>
        <w:t>1  实验目的</w:t>
      </w:r>
    </w:p>
    <w:p>
      <w:pPr>
        <w:spacing w:after="6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在相同数据与训练配置下，分别加入 CBAM 注意力模块与 MSFF 多尺度特征融合模块，考察单一模块及两者组合对识别准确率的影响，重点判断架构差异在何种测试条件下才能被观测到。</w:t>
      </w:r>
    </w:p>
    <w:p>
      <w:pPr>
        <w:spacing w:after="80" w:before="160" w:line="300" w:lineRule="auto"/>
        <w:jc w:val="left"/>
      </w:pPr>
      <w:r>
        <w:rPr>
          <w:rFonts w:ascii="Microsoft YaHei" w:hAnsi="Microsoft YaHei" w:eastAsia="微软雅黑"/>
          <w:b/>
          <w:sz w:val="26"/>
        </w:rPr>
        <w:t>2  实验设置</w:t>
      </w:r>
    </w:p>
    <w:p>
      <w:pPr>
        <w:spacing w:after="6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消融组固定 A（MobileNetV3-S 基线）、E（+CBAM）、C（+MSFF）、D（MSFF+CBAM），B 不参与。测试集共 6 套：五类白底 test（58 张）、五类实景 test（52 张）、32 类白底 test（358 张），以及三组各 227 张困难帧压力测试（R1：W5 五类白底模型；R2：L5 五类实景模型；R3：W32 32 类白底模型）。统一使用 seed 42 的 best checkpoint。报告以准确率为主要指标，macro-F1 与 CE 损失见 ablation_metrics.csv。</w:t>
      </w:r>
    </w:p>
    <w:p>
      <w:pPr>
        <w:spacing w:after="80" w:before="160" w:line="300" w:lineRule="auto"/>
        <w:jc w:val="left"/>
      </w:pPr>
      <w:r>
        <w:rPr>
          <w:rFonts w:ascii="Microsoft YaHei" w:hAnsi="Microsoft YaHei" w:eastAsia="微软雅黑"/>
          <w:b/>
          <w:sz w:val="26"/>
        </w:rPr>
        <w:t>3  结果</w:t>
      </w:r>
    </w:p>
    <w:p>
      <w:pPr>
        <w:spacing w:after="6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六套测试集上的准确率见表 1，主测试与困难帧对比分别见图 1、图 2；各模块相对基线的增益（百分点）另存为 pic/melt-test/ablation_gains.png。</w:t>
      </w:r>
    </w:p>
    <w:p>
      <w:pPr>
        <w:spacing w:after="120" w:before="0" w:line="300" w:lineRule="auto"/>
        <w:jc w:val="center"/>
      </w:pPr>
      <w:r>
        <w:rPr>
          <w:rFonts w:ascii="Times New Roman" w:hAnsi="Times New Roman" w:eastAsia="宋体"/>
          <w:b w:val="0"/>
          <w:sz w:val="18"/>
        </w:rPr>
        <w:t>表 1  六套测试集准确率（%）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3175"/>
            <w:vAlign w:val="center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测试集</w:t>
            </w:r>
          </w:p>
        </w:tc>
        <w:tc>
          <w:tcPr>
            <w:tcW w:type="dxa" w:w="1446"/>
            <w:vAlign w:val="center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A 基线</w:t>
            </w:r>
          </w:p>
        </w:tc>
        <w:tc>
          <w:tcPr>
            <w:tcW w:type="dxa" w:w="1446"/>
            <w:vAlign w:val="center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E +CBAM</w:t>
            </w:r>
          </w:p>
        </w:tc>
        <w:tc>
          <w:tcPr>
            <w:tcW w:type="dxa" w:w="1446"/>
            <w:vAlign w:val="center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C +MSFF</w:t>
            </w:r>
          </w:p>
        </w:tc>
        <w:tc>
          <w:tcPr>
            <w:tcW w:type="dxa" w:w="1446"/>
            <w:vAlign w:val="center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D 组合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五类白底 test（n=58）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98.28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98.28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100.00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100.00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五类实景 test（n=52）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69.23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63.46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73.08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75.00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32 类白底 test（n=358）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98.60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98.60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98.60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98.60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R1：W5 → 困难帧（n=227）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26.43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25.11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22.91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31.28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R2：L5 → 困难帧（n=227）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56.39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61.67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55.07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40.53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R3：W32 → 困难帧（n=227）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0.00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0.00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0.44</w:t>
            </w:r>
          </w:p>
        </w:tc>
        <w:tc>
          <w:tcPr>
            <w:tcW w:type="dxa" w:w="144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0.00</w:t>
            </w:r>
          </w:p>
        </w:tc>
      </w:tr>
    </w:tbl>
    <w:p>
      <w:pPr>
        <w:spacing w:after="0" w:before="0" w:line="300" w:lineRule="auto"/>
        <w:jc w:val="both"/>
      </w:pPr>
      <w:r>
        <w:rPr>
          <w:rFonts w:ascii="Times New Roman" w:hAnsi="Times New Roman" w:eastAsia="宋体"/>
          <w:b w:val="0"/>
          <w:sz w:val="6"/>
        </w:rPr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44000" cy="2479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main_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4000" cy="2479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00" w:lineRule="auto"/>
        <w:jc w:val="center"/>
      </w:pPr>
      <w:r>
        <w:rPr>
          <w:rFonts w:ascii="Times New Roman" w:hAnsi="Times New Roman" w:eastAsia="宋体"/>
          <w:b w:val="0"/>
          <w:sz w:val="18"/>
        </w:rPr>
        <w:t>图 1  A/E/C/D 在三套主测试集上的准确率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44000" cy="2479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robustness_accur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4000" cy="2479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00" w:lineRule="auto"/>
        <w:jc w:val="center"/>
      </w:pPr>
      <w:r>
        <w:rPr>
          <w:rFonts w:ascii="Times New Roman" w:hAnsi="Times New Roman" w:eastAsia="宋体"/>
          <w:b w:val="0"/>
          <w:sz w:val="18"/>
        </w:rPr>
        <w:t>图 2  A/E/C/D 在三组困难帧压力测试上的准确率（R3 接近 0；虚线为 32 类随机基线≈3.1%）</w:t>
      </w:r>
    </w:p>
    <w:p>
      <w:pPr>
        <w:spacing w:after="80" w:before="160" w:line="300" w:lineRule="auto"/>
        <w:jc w:val="left"/>
      </w:pPr>
      <w:r>
        <w:rPr>
          <w:rFonts w:ascii="Microsoft YaHei" w:hAnsi="Microsoft YaHei" w:eastAsia="微软雅黑"/>
          <w:b/>
          <w:sz w:val="26"/>
        </w:rPr>
        <w:t>4  分析与结论</w:t>
      </w:r>
    </w:p>
    <w:p>
      <w:pPr>
        <w:pStyle w:val="ListBullet"/>
        <w:spacing w:after="6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五类白底 test 已饱和：A/E 为 98.28%，C/D 为 100.00%，架构差异被任务难度掩盖。</w:t>
      </w:r>
    </w:p>
    <w:p>
      <w:pPr>
        <w:pStyle w:val="ListBullet"/>
        <w:spacing w:after="6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五类实景 test（n=52，1 张≈1.9 pp）差异有限：A 为 69.23%，E 为 63.46%，C 为 73.08%，D 为 75.00%。C−A = +3.85 pp、D−A = +5.77 pp，约 2–3 张样本即可造成同等幅度，暂不足以判定稳定增益；交互项 (D−C)−(E−A) = +7.69 pp。</w:t>
      </w:r>
    </w:p>
    <w:p>
      <w:pPr>
        <w:pStyle w:val="ListBullet"/>
        <w:spacing w:after="6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32 类白底 test 准确率无差异：A/E/C/D 均为 98.60%；top-5 准确率 A/E/C/D 均为 100.00%。CE 与 macro-F1 仍有差异（见 ablation_metrics.csv），但准确率层面未观察到架构差异。</w:t>
      </w:r>
    </w:p>
    <w:p>
      <w:pPr>
        <w:pStyle w:val="ListBullet"/>
        <w:spacing w:after="6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困难帧结果方向不一致。R1（W5 模型 → 227 张困难帧）：A 为 26.43%，E 为 25.11%，C 为 22.91%，D 为 31.28%；D 为 31.28% 最高，E 25.11%、C 22.91% 均未超过 A 26.43%。R2（L5 模型 → 227 张困难帧）：A 为 56.39%，E 为 61.67%，C 为 55.07%，D 为 40.53%；E−A = +5.29 pp，D 为 40.53%（best epoch=2）明显偏低。R3（W32 模型 → 227 张困难帧）：A/E/D 为 0.00%，C 为 0.44%；最高仅 0.44%，低于 32 类随机基线（约 3.1%），不能据此评价架构。</w:t>
      </w:r>
    </w:p>
    <w:p>
      <w:pPr>
        <w:pStyle w:val="ListBullet"/>
        <w:spacing w:after="6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交互项 (D−C)−(E−A) 方向不一致：五类实景（live5）+7.69、R1 +9.69、R2 -19.82、R3 -0.44 个百分点，不能宣称 MSFF+CBAM 具有稳定互补增益。</w:t>
      </w:r>
    </w:p>
    <w:p>
      <w:pPr>
        <w:spacing w:after="80" w:before="160" w:line="300" w:lineRule="auto"/>
        <w:jc w:val="left"/>
      </w:pPr>
      <w:r>
        <w:rPr>
          <w:rFonts w:ascii="Microsoft YaHei" w:hAnsi="Microsoft YaHei" w:eastAsia="微软雅黑"/>
          <w:b/>
          <w:sz w:val="26"/>
        </w:rPr>
        <w:t>5  局限</w:t>
      </w:r>
    </w:p>
    <w:p>
      <w:pPr>
        <w:pStyle w:val="ListBullet"/>
        <w:spacing w:after="6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测试集规模小（五类白底 58 张、实景 52 张），单张样本约对应 1.7–1.9 个百分点，结果易受个别样本影响。</w:t>
      </w:r>
    </w:p>
    <w:p>
      <w:pPr>
        <w:pStyle w:val="ListBullet"/>
        <w:spacing w:after="6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仅 seed 42 单次训练，无法判断模型间差异的稳定性。</w:t>
      </w:r>
    </w:p>
    <w:p>
      <w:pPr>
        <w:pStyle w:val="ListBullet"/>
        <w:spacing w:after="6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困难帧来自与实景训练相同的 5 段视频，存在场景/拍摄条件重叠，R1–R3 只宜作鲁棒性压力测试。</w:t>
      </w:r>
    </w:p>
    <w:p>
      <w:pPr>
        <w:pStyle w:val="ListBullet"/>
        <w:spacing w:after="6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R3 为 32 类模型在仅覆盖 5/32 类的困难帧上评测，指标偏低且不可与主测试直接比较。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