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A736" w14:textId="1D19A2B3" w:rsidR="005020B8" w:rsidRDefault="005020B8" w:rsidP="00060A5A">
      <w:pPr>
        <w:spacing w:after="0"/>
        <w:ind w:firstLine="709"/>
        <w:jc w:val="center"/>
        <w:rPr>
          <w:b/>
          <w:bCs/>
          <w:lang w:val="en-US"/>
        </w:rPr>
      </w:pPr>
      <w:r w:rsidRPr="005020B8">
        <w:rPr>
          <w:b/>
          <w:bCs/>
        </w:rPr>
        <w:t>Sharq va G‘arb navoiyshunosligidagi metodologik farqlar: qiyosiy tahlil</w:t>
      </w:r>
    </w:p>
    <w:p w14:paraId="6FEF3782" w14:textId="77777777" w:rsidR="005020B8" w:rsidRPr="00690A58" w:rsidRDefault="005020B8" w:rsidP="005020B8">
      <w:pPr>
        <w:spacing w:after="0" w:line="276" w:lineRule="auto"/>
        <w:jc w:val="right"/>
        <w:rPr>
          <w:rFonts w:cs="Times New Roman"/>
          <w:b/>
          <w:bCs/>
          <w:sz w:val="24"/>
          <w:szCs w:val="24"/>
          <w:lang w:val="en-US"/>
        </w:rPr>
      </w:pPr>
      <w:r w:rsidRPr="00690A58">
        <w:rPr>
          <w:rFonts w:cs="Times New Roman"/>
          <w:b/>
          <w:bCs/>
          <w:sz w:val="24"/>
          <w:szCs w:val="24"/>
          <w:lang w:val="en-US"/>
        </w:rPr>
        <w:t>Islomov Diyorbek Zafar o’g’li</w:t>
      </w:r>
    </w:p>
    <w:p w14:paraId="473165F2" w14:textId="77777777" w:rsidR="005020B8" w:rsidRPr="00690A58" w:rsidRDefault="005020B8" w:rsidP="005020B8">
      <w:pPr>
        <w:spacing w:after="0" w:line="276" w:lineRule="auto"/>
        <w:jc w:val="right"/>
        <w:rPr>
          <w:rFonts w:cs="Times New Roman"/>
          <w:b/>
          <w:bCs/>
          <w:sz w:val="24"/>
          <w:szCs w:val="24"/>
          <w:lang w:val="en-US"/>
        </w:rPr>
      </w:pPr>
      <w:r w:rsidRPr="00690A58">
        <w:rPr>
          <w:rFonts w:cs="Times New Roman"/>
          <w:b/>
          <w:bCs/>
          <w:sz w:val="24"/>
          <w:szCs w:val="24"/>
          <w:lang w:val="en-US"/>
        </w:rPr>
        <w:t>Iqtisodiyot va pedagogika universiteti, Qarshi, stajyor o’qituvchi</w:t>
      </w:r>
    </w:p>
    <w:p w14:paraId="4D20D3B3" w14:textId="5BC4EA90" w:rsidR="005020B8" w:rsidRPr="00690A58" w:rsidRDefault="005020B8" w:rsidP="005020B8">
      <w:pPr>
        <w:spacing w:after="0" w:line="276" w:lineRule="auto"/>
        <w:jc w:val="right"/>
        <w:rPr>
          <w:rFonts w:cs="Times New Roman"/>
          <w:b/>
          <w:bCs/>
          <w:sz w:val="24"/>
          <w:szCs w:val="24"/>
          <w:lang w:val="en-US"/>
        </w:rPr>
      </w:pPr>
      <w:r w:rsidRPr="00690A58">
        <w:rPr>
          <w:rFonts w:cs="Times New Roman"/>
          <w:b/>
          <w:bCs/>
          <w:sz w:val="24"/>
          <w:szCs w:val="24"/>
          <w:lang w:val="en-US"/>
        </w:rPr>
        <w:t>Sho‘ba tartib raqami:</w:t>
      </w:r>
      <w:r w:rsidR="00060A5A">
        <w:rPr>
          <w:rFonts w:cs="Times New Roman"/>
          <w:b/>
          <w:bCs/>
          <w:sz w:val="24"/>
          <w:szCs w:val="24"/>
          <w:lang w:val="en-US"/>
        </w:rPr>
        <w:t>1</w:t>
      </w:r>
    </w:p>
    <w:p w14:paraId="7F664B3F" w14:textId="77777777" w:rsidR="005020B8" w:rsidRPr="00690A58" w:rsidRDefault="005020B8" w:rsidP="005020B8">
      <w:pPr>
        <w:spacing w:after="0" w:line="276" w:lineRule="auto"/>
        <w:jc w:val="right"/>
        <w:rPr>
          <w:rFonts w:cs="Times New Roman"/>
          <w:b/>
          <w:bCs/>
          <w:sz w:val="24"/>
          <w:szCs w:val="24"/>
          <w:lang w:val="en-US"/>
        </w:rPr>
      </w:pPr>
      <w:r w:rsidRPr="00690A58">
        <w:rPr>
          <w:rFonts w:cs="Times New Roman"/>
          <w:b/>
          <w:bCs/>
          <w:sz w:val="24"/>
          <w:szCs w:val="24"/>
          <w:lang w:val="en-US"/>
        </w:rPr>
        <w:t>diyorbekshaxrisabz@gmail.com</w:t>
      </w:r>
    </w:p>
    <w:p w14:paraId="1261AC32" w14:textId="77777777" w:rsidR="005020B8" w:rsidRPr="00690A58" w:rsidRDefault="005020B8" w:rsidP="005020B8">
      <w:pPr>
        <w:spacing w:after="0" w:line="276" w:lineRule="auto"/>
        <w:jc w:val="right"/>
        <w:rPr>
          <w:rFonts w:cs="Times New Roman"/>
          <w:b/>
          <w:bCs/>
          <w:sz w:val="24"/>
          <w:szCs w:val="24"/>
          <w:lang w:val="en-US"/>
        </w:rPr>
      </w:pPr>
      <w:r w:rsidRPr="00690A58">
        <w:rPr>
          <w:rFonts w:cs="Times New Roman"/>
          <w:b/>
          <w:bCs/>
          <w:sz w:val="24"/>
          <w:szCs w:val="24"/>
          <w:lang w:val="en-US"/>
        </w:rPr>
        <w:t>+99890 892-59-52</w:t>
      </w:r>
    </w:p>
    <w:p w14:paraId="007DA9FE" w14:textId="77777777" w:rsidR="005020B8" w:rsidRPr="005020B8" w:rsidRDefault="005020B8" w:rsidP="005020B8">
      <w:pPr>
        <w:spacing w:after="0"/>
        <w:ind w:firstLine="709"/>
        <w:jc w:val="both"/>
        <w:rPr>
          <w:b/>
          <w:bCs/>
          <w:lang w:val="en-US"/>
        </w:rPr>
      </w:pPr>
    </w:p>
    <w:p w14:paraId="38DB44D5" w14:textId="052EB78F" w:rsidR="005020B8" w:rsidRPr="005020B8" w:rsidRDefault="005020B8" w:rsidP="005020B8">
      <w:pPr>
        <w:spacing w:after="0"/>
        <w:ind w:firstLine="709"/>
        <w:jc w:val="both"/>
        <w:rPr>
          <w:b/>
          <w:bCs/>
          <w:lang w:val="en-US"/>
        </w:rPr>
      </w:pPr>
      <w:r w:rsidRPr="005020B8">
        <w:rPr>
          <w:b/>
          <w:bCs/>
          <w:lang w:val="en-US"/>
        </w:rPr>
        <w:t>ANNOTATSIYA</w:t>
      </w:r>
    </w:p>
    <w:p w14:paraId="4EEC74DF" w14:textId="2FF4C828" w:rsidR="005020B8" w:rsidRPr="005020B8" w:rsidRDefault="005020B8" w:rsidP="005020B8">
      <w:pPr>
        <w:spacing w:after="0" w:line="276" w:lineRule="auto"/>
        <w:ind w:firstLine="709"/>
        <w:jc w:val="both"/>
        <w:rPr>
          <w:rFonts w:cs="Times New Roman"/>
          <w:sz w:val="24"/>
          <w:szCs w:val="24"/>
        </w:rPr>
      </w:pPr>
      <w:r w:rsidRPr="005020B8">
        <w:rPr>
          <w:rFonts w:cs="Times New Roman"/>
          <w:sz w:val="24"/>
          <w:szCs w:val="24"/>
          <w:lang w:val="en-US"/>
        </w:rPr>
        <w:t xml:space="preserve">Ushbu maqolada Sharq (asosan o‘zbek, turk va eron) va G‘arb (Yevropa, Amerika) navoiyshunoslik maktablarida qo‘llaniladigan metodologik yondashuvlardagi asosiy farqlar qiyosiy tahlil qilinadi. </w:t>
      </w:r>
      <w:r w:rsidRPr="005020B8">
        <w:rPr>
          <w:rFonts w:cs="Times New Roman"/>
          <w:sz w:val="24"/>
          <w:szCs w:val="24"/>
        </w:rPr>
        <w:t>Sharq an’anasida ustunlik qilgan an’anaviy filologik, matnshunoslik va tarixiy-kontekstual usullar bilan G‘arbning interdisiplinar, nazzariy va raqamli metodlari solishtiriladi. Ikkala yo‘nalishning kuchli va zaif tomonlari, o‘zaro ta’siri, shuningdek, zamonaviy navoiyshunoslikda ularning sintezidan kelib chiqadigan yangi imkoniyatlar o‘rganiladi.</w:t>
      </w:r>
    </w:p>
    <w:p w14:paraId="6FD2142E" w14:textId="4B68A1E5" w:rsidR="005020B8" w:rsidRPr="005020B8" w:rsidRDefault="005020B8" w:rsidP="005020B8">
      <w:pPr>
        <w:spacing w:after="0" w:line="276" w:lineRule="auto"/>
        <w:ind w:firstLine="709"/>
        <w:rPr>
          <w:rFonts w:cs="Times New Roman"/>
          <w:sz w:val="24"/>
          <w:szCs w:val="24"/>
          <w:lang w:val="en-US"/>
        </w:rPr>
      </w:pPr>
      <w:r w:rsidRPr="005020B8">
        <w:rPr>
          <w:rFonts w:cs="Times New Roman"/>
          <w:b/>
          <w:bCs/>
          <w:sz w:val="24"/>
          <w:szCs w:val="24"/>
        </w:rPr>
        <w:t>Kalit so‘zlar:</w:t>
      </w:r>
      <w:r w:rsidRPr="005020B8">
        <w:rPr>
          <w:rFonts w:cs="Times New Roman"/>
          <w:sz w:val="24"/>
          <w:szCs w:val="24"/>
        </w:rPr>
        <w:t> Navoiy, sharq navoiyshunosligi, g‘arb navoiyshunosligi, qiyosiy metodologiya, matnshunoslik, interdisiplinarlik, raqamli gumanitar fanlar.</w:t>
      </w:r>
    </w:p>
    <w:p w14:paraId="695D2DEE" w14:textId="572CFD4A" w:rsidR="005020B8" w:rsidRPr="005020B8" w:rsidRDefault="005020B8" w:rsidP="005020B8">
      <w:pPr>
        <w:spacing w:after="0" w:line="276" w:lineRule="auto"/>
        <w:ind w:firstLine="709"/>
        <w:jc w:val="both"/>
        <w:rPr>
          <w:rFonts w:cs="Times New Roman"/>
          <w:sz w:val="24"/>
          <w:szCs w:val="24"/>
          <w:lang w:val="en-US"/>
        </w:rPr>
      </w:pPr>
      <w:r w:rsidRPr="005020B8">
        <w:rPr>
          <w:rFonts w:cs="Times New Roman"/>
          <w:b/>
          <w:bCs/>
          <w:sz w:val="24"/>
          <w:szCs w:val="24"/>
          <w:lang w:val="en-US"/>
        </w:rPr>
        <w:t>Abstract</w:t>
      </w:r>
      <w:r w:rsidRPr="005020B8">
        <w:rPr>
          <w:rFonts w:cs="Times New Roman"/>
          <w:sz w:val="24"/>
          <w:szCs w:val="24"/>
          <w:lang w:val="en-US"/>
        </w:rPr>
        <w:br/>
        <w:t>This article provides a comparative analysis of the main methodological differences between Eastern (primarily Uzbek, Turkish, and Iranian) and Western (European, American) schools of Navoi studies. Traditional philological, textual, and historical-contextual methods prevailing in the Eastern tradition are compared with Western interdisciplinary, theoretical, and digital approaches. The strengths and weaknesses of both directions, their mutual influence, as well as new opportunities arising from their synthesis in modern Navoi studies are examined.</w:t>
      </w:r>
    </w:p>
    <w:p w14:paraId="4C37E504" w14:textId="2F4B7550" w:rsidR="005020B8" w:rsidRPr="005020B8" w:rsidRDefault="005020B8" w:rsidP="005020B8">
      <w:pPr>
        <w:spacing w:after="0" w:line="276" w:lineRule="auto"/>
        <w:ind w:firstLine="709"/>
        <w:jc w:val="both"/>
        <w:rPr>
          <w:rFonts w:cs="Times New Roman"/>
          <w:sz w:val="24"/>
          <w:szCs w:val="24"/>
          <w:lang w:val="en-US"/>
        </w:rPr>
      </w:pPr>
      <w:r w:rsidRPr="005020B8">
        <w:rPr>
          <w:rFonts w:cs="Times New Roman"/>
          <w:b/>
          <w:bCs/>
          <w:sz w:val="24"/>
          <w:szCs w:val="24"/>
          <w:lang w:val="en-US"/>
        </w:rPr>
        <w:t>Keywords:</w:t>
      </w:r>
      <w:r w:rsidRPr="005020B8">
        <w:rPr>
          <w:rFonts w:cs="Times New Roman"/>
          <w:sz w:val="24"/>
          <w:szCs w:val="24"/>
          <w:lang w:val="en-US"/>
        </w:rPr>
        <w:t> Navoiy, Eastern Navoi studies, Western Navoi studies, comparative methodology, textual studies, interdisciplinarity, digital humanities.</w:t>
      </w:r>
    </w:p>
    <w:p w14:paraId="1759A98A" w14:textId="0A862458" w:rsidR="005020B8" w:rsidRPr="005020B8" w:rsidRDefault="005020B8" w:rsidP="005020B8">
      <w:pPr>
        <w:spacing w:after="0" w:line="276" w:lineRule="auto"/>
        <w:ind w:firstLine="709"/>
        <w:rPr>
          <w:rFonts w:cs="Times New Roman"/>
          <w:sz w:val="24"/>
          <w:szCs w:val="24"/>
        </w:rPr>
      </w:pPr>
      <w:r w:rsidRPr="005020B8">
        <w:rPr>
          <w:rFonts w:cs="Times New Roman"/>
          <w:b/>
          <w:bCs/>
          <w:sz w:val="24"/>
          <w:szCs w:val="24"/>
        </w:rPr>
        <w:t>Аннотация</w:t>
      </w:r>
      <w:r w:rsidRPr="005020B8">
        <w:rPr>
          <w:rFonts w:cs="Times New Roman"/>
          <w:sz w:val="24"/>
          <w:szCs w:val="24"/>
        </w:rPr>
        <w:br/>
        <w:t>В данной статье проводится сравнительный анализ основных методологических различий между восточной (преимущественно узбекской, турецкой и иранской) и западной (европейской, американской) школами навоиведения. Традиционные филологические, текстологические и историко-контекстуальные методы, преобладающие в восточной традиции, сопоставляются с западными междисциплинарными, теоретическими и цифровыми подходами. Исследуются сильные и слабые стороны обоих направлений, их взаимовлияние, а также новые возможности, возникающие в результате их синтеза в современном навоиведении.</w:t>
      </w:r>
    </w:p>
    <w:p w14:paraId="65C9D9DD" w14:textId="77777777" w:rsidR="005020B8" w:rsidRPr="005020B8" w:rsidRDefault="005020B8" w:rsidP="005020B8">
      <w:pPr>
        <w:spacing w:after="0" w:line="276" w:lineRule="auto"/>
        <w:ind w:firstLine="709"/>
        <w:rPr>
          <w:rFonts w:cs="Times New Roman"/>
          <w:sz w:val="24"/>
          <w:szCs w:val="24"/>
        </w:rPr>
      </w:pPr>
      <w:r w:rsidRPr="005020B8">
        <w:rPr>
          <w:rFonts w:cs="Times New Roman"/>
          <w:b/>
          <w:bCs/>
          <w:sz w:val="24"/>
          <w:szCs w:val="24"/>
        </w:rPr>
        <w:t>Ключевые слова:</w:t>
      </w:r>
      <w:r w:rsidRPr="005020B8">
        <w:rPr>
          <w:rFonts w:cs="Times New Roman"/>
          <w:sz w:val="24"/>
          <w:szCs w:val="24"/>
        </w:rPr>
        <w:t> Навои, восточное навоиведение, западное навоиведение, сравнительная методология, текстология, междисциплинарность, цифровые гуманитарные науки.</w:t>
      </w:r>
    </w:p>
    <w:p w14:paraId="51F06DE3"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t>Alisher Navoiy merosining o‘rganilishi Sharq va G‘arbda turlicha ilmiy an’analar, metodologik yondashuvlar va tadqiqot magsadlari asosida rivojlanmoqda. Sharq navoiyshunosligi, asosan, matnni saqlash, nashr qilish, sharhlash va milliy madaniy meros sifatida o‘rganishga qaratilgan bo‘lsa, G‘arb navoiyshunosligi ko‘proqa nazzariy, qiyosiy va interdisiplinar jihatlarni o‘rganishga intiladi. Ushbu maqolaning magsadi – ikkala yo‘nalishning metodologik xususiyatlarini qiyosiy tahli qilish, ularning o‘zaro ta’siri va zamonaviy navoiyshunoslikda sintez imkoniyatlarini aniqlashdir.</w:t>
      </w:r>
    </w:p>
    <w:p w14:paraId="0FB48E63"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t>1. Sharq navoiyshunosligining metodologik xususiyatlari</w:t>
      </w:r>
    </w:p>
    <w:p w14:paraId="1CC7152E"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lastRenderedPageBreak/>
        <w:t>1.1. An’anaviy filologik va matnshunoslik usullari</w:t>
      </w:r>
      <w:r w:rsidRPr="005020B8">
        <w:rPr>
          <w:rFonts w:cs="Times New Roman"/>
          <w:sz w:val="24"/>
          <w:szCs w:val="24"/>
        </w:rPr>
        <w:br/>
        <w:t>Sharq, ayniqsa O‘zbekiston, Tojikiston, Ozarbayjon va Turkiyada navoiyshunoslik asosan an’anaviy filologik usullarga tayangan. Bunga quyidagilar kiradi:</w:t>
      </w:r>
    </w:p>
    <w:p w14:paraId="1C843571" w14:textId="77777777" w:rsidR="005020B8" w:rsidRPr="005020B8" w:rsidRDefault="005020B8" w:rsidP="005020B8">
      <w:pPr>
        <w:numPr>
          <w:ilvl w:val="0"/>
          <w:numId w:val="1"/>
        </w:numPr>
        <w:spacing w:after="0" w:line="276" w:lineRule="auto"/>
        <w:rPr>
          <w:rFonts w:cs="Times New Roman"/>
          <w:sz w:val="24"/>
          <w:szCs w:val="24"/>
        </w:rPr>
      </w:pPr>
      <w:r w:rsidRPr="005020B8">
        <w:rPr>
          <w:rFonts w:cs="Times New Roman"/>
          <w:sz w:val="24"/>
          <w:szCs w:val="24"/>
        </w:rPr>
        <w:t>Matnni tahrir qilish va nashrga tayyorlash – qo‘lyozma variantlarini solishtirish, xatolarni tuzatish, izohlar yozish.</w:t>
      </w:r>
    </w:p>
    <w:p w14:paraId="1702FE94" w14:textId="77777777" w:rsidR="005020B8" w:rsidRPr="005020B8" w:rsidRDefault="005020B8" w:rsidP="005020B8">
      <w:pPr>
        <w:numPr>
          <w:ilvl w:val="0"/>
          <w:numId w:val="1"/>
        </w:numPr>
        <w:spacing w:after="0" w:line="276" w:lineRule="auto"/>
        <w:rPr>
          <w:rFonts w:cs="Times New Roman"/>
          <w:sz w:val="24"/>
          <w:szCs w:val="24"/>
          <w:lang w:val="en-US"/>
        </w:rPr>
      </w:pPr>
      <w:r w:rsidRPr="005020B8">
        <w:rPr>
          <w:rFonts w:cs="Times New Roman"/>
          <w:sz w:val="24"/>
          <w:szCs w:val="24"/>
          <w:lang w:val="en-US"/>
        </w:rPr>
        <w:t>Lingvistik tahli – lug‘aviy, grammatik, stilistik jihatlarni o‘rganish.</w:t>
      </w:r>
    </w:p>
    <w:p w14:paraId="68ED3507" w14:textId="77777777" w:rsidR="005020B8" w:rsidRPr="005020B8" w:rsidRDefault="005020B8" w:rsidP="005020B8">
      <w:pPr>
        <w:numPr>
          <w:ilvl w:val="0"/>
          <w:numId w:val="1"/>
        </w:numPr>
        <w:spacing w:after="0" w:line="276" w:lineRule="auto"/>
        <w:rPr>
          <w:rFonts w:cs="Times New Roman"/>
          <w:sz w:val="24"/>
          <w:szCs w:val="24"/>
          <w:lang w:val="en-US"/>
        </w:rPr>
      </w:pPr>
      <w:r w:rsidRPr="005020B8">
        <w:rPr>
          <w:rFonts w:cs="Times New Roman"/>
          <w:sz w:val="24"/>
          <w:szCs w:val="24"/>
          <w:lang w:val="en-US"/>
        </w:rPr>
        <w:t>Manbashunoslik – asarlarning tarixiy shakllanishi, bosma nashrlar tarixi.</w:t>
      </w:r>
    </w:p>
    <w:p w14:paraId="6F182F66"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O‘zbekiston va Tojikistonda Navoiy asarlarining akademik nashrlari (masalan, 20 jildlik “Asarlar” to‘plami) aynan shu usullar asosida tayyorlangan [1: 23-25].</w:t>
      </w:r>
    </w:p>
    <w:p w14:paraId="0DDF3E70"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b/>
          <w:bCs/>
          <w:sz w:val="24"/>
          <w:szCs w:val="24"/>
          <w:lang w:val="en-US"/>
        </w:rPr>
        <w:t>1.</w:t>
      </w:r>
      <w:r w:rsidRPr="005020B8">
        <w:rPr>
          <w:rFonts w:cs="Times New Roman"/>
          <w:sz w:val="24"/>
          <w:szCs w:val="24"/>
          <w:lang w:val="en-US"/>
        </w:rPr>
        <w:t>2. Tarixiy va madaniy-kontekstual yondashuv</w:t>
      </w:r>
      <w:r w:rsidRPr="005020B8">
        <w:rPr>
          <w:rFonts w:cs="Times New Roman"/>
          <w:sz w:val="24"/>
          <w:szCs w:val="24"/>
          <w:lang w:val="en-US"/>
        </w:rPr>
        <w:br/>
        <w:t>Sharq olimlari Navoiy ijodini uning tarixiy davri – Temuriylar davri madaniy muhiti, siyosiy sharotilari bilan bog‘lab o‘rganadi. Navoiyning davlat arbobi, vazir, homiy sifatidagi faoliyati, uning ilmiy va adabiy aloqalari keng yoritilgan.</w:t>
      </w:r>
    </w:p>
    <w:p w14:paraId="486B1532"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1.3. Milliy g‘urur va merosni saqlash vositasi</w:t>
      </w:r>
      <w:r w:rsidRPr="005020B8">
        <w:rPr>
          <w:rFonts w:cs="Times New Roman"/>
          <w:sz w:val="24"/>
          <w:szCs w:val="24"/>
          <w:lang w:val="en-US"/>
        </w:rPr>
        <w:br/>
        <w:t>Sharq mamlakatlarida Navoiy merosini o‘rganish nafaqat ilmiy, balki madaniy-ma’naviy, ma’rifiy vazifa sifatida qaraladi. Bu ba’zan tadqiqotlarda kritik yondashuvning cheklanishiga olib kelishi mumkin.</w:t>
      </w:r>
    </w:p>
    <w:p w14:paraId="4F18F615"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2. G‘arb navoiyshunosligining metodologik xususiyatlari</w:t>
      </w:r>
    </w:p>
    <w:p w14:paraId="0BA55215"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2.1. Interdisiplinar yondashuv</w:t>
      </w:r>
      <w:r w:rsidRPr="005020B8">
        <w:rPr>
          <w:rFonts w:cs="Times New Roman"/>
          <w:sz w:val="24"/>
          <w:szCs w:val="24"/>
          <w:lang w:val="en-US"/>
        </w:rPr>
        <w:br/>
        <w:t>G‘arbda Navoiy tadqiqotlari filologiya doirasidan chiqib, quyidagi fanlar bilan uyg‘unlashgan:</w:t>
      </w:r>
    </w:p>
    <w:p w14:paraId="604AA9EC" w14:textId="77777777" w:rsidR="005020B8" w:rsidRPr="005020B8" w:rsidRDefault="005020B8" w:rsidP="005020B8">
      <w:pPr>
        <w:numPr>
          <w:ilvl w:val="0"/>
          <w:numId w:val="2"/>
        </w:numPr>
        <w:spacing w:after="0" w:line="276" w:lineRule="auto"/>
        <w:rPr>
          <w:rFonts w:cs="Times New Roman"/>
          <w:sz w:val="24"/>
          <w:szCs w:val="24"/>
          <w:lang w:val="en-US"/>
        </w:rPr>
      </w:pPr>
      <w:r w:rsidRPr="005020B8">
        <w:rPr>
          <w:rFonts w:cs="Times New Roman"/>
          <w:sz w:val="24"/>
          <w:szCs w:val="24"/>
          <w:lang w:val="en-US"/>
        </w:rPr>
        <w:t>Adabiyotshunoslik – nazzariy adabiy tahli (postkolonial tahli, feminist adabiyotshunoslik, mifopoetika).</w:t>
      </w:r>
    </w:p>
    <w:p w14:paraId="2B65A8B7" w14:textId="77777777" w:rsidR="005020B8" w:rsidRPr="005020B8" w:rsidRDefault="005020B8" w:rsidP="005020B8">
      <w:pPr>
        <w:numPr>
          <w:ilvl w:val="0"/>
          <w:numId w:val="2"/>
        </w:numPr>
        <w:spacing w:after="0" w:line="276" w:lineRule="auto"/>
        <w:rPr>
          <w:rFonts w:cs="Times New Roman"/>
          <w:sz w:val="24"/>
          <w:szCs w:val="24"/>
          <w:lang w:val="en-US"/>
        </w:rPr>
      </w:pPr>
      <w:r w:rsidRPr="005020B8">
        <w:rPr>
          <w:rFonts w:cs="Times New Roman"/>
          <w:sz w:val="24"/>
          <w:szCs w:val="24"/>
          <w:lang w:val="en-US"/>
        </w:rPr>
        <w:t>Madaniyatshunoslik – madaniy transfer, identifikatsiya, xotira tadqiqotlari.</w:t>
      </w:r>
    </w:p>
    <w:p w14:paraId="7606301F" w14:textId="77777777" w:rsidR="005020B8" w:rsidRPr="005020B8" w:rsidRDefault="005020B8" w:rsidP="005020B8">
      <w:pPr>
        <w:numPr>
          <w:ilvl w:val="0"/>
          <w:numId w:val="2"/>
        </w:numPr>
        <w:spacing w:after="0" w:line="276" w:lineRule="auto"/>
        <w:rPr>
          <w:rFonts w:cs="Times New Roman"/>
          <w:sz w:val="24"/>
          <w:szCs w:val="24"/>
          <w:lang w:val="en-US"/>
        </w:rPr>
      </w:pPr>
      <w:r w:rsidRPr="005020B8">
        <w:rPr>
          <w:rFonts w:cs="Times New Roman"/>
          <w:sz w:val="24"/>
          <w:szCs w:val="24"/>
          <w:lang w:val="en-US"/>
        </w:rPr>
        <w:t>Dinsshunoslik – Navoiy tasavvufidagi gnoseologik va amaliy jihatlar.</w:t>
      </w:r>
    </w:p>
    <w:p w14:paraId="66710594" w14:textId="77777777" w:rsidR="005020B8" w:rsidRPr="005020B8" w:rsidRDefault="005020B8" w:rsidP="005020B8">
      <w:pPr>
        <w:numPr>
          <w:ilvl w:val="0"/>
          <w:numId w:val="2"/>
        </w:numPr>
        <w:spacing w:after="0" w:line="276" w:lineRule="auto"/>
        <w:rPr>
          <w:rFonts w:cs="Times New Roman"/>
          <w:sz w:val="24"/>
          <w:szCs w:val="24"/>
          <w:lang w:val="en-US"/>
        </w:rPr>
      </w:pPr>
      <w:r w:rsidRPr="005020B8">
        <w:rPr>
          <w:rFonts w:cs="Times New Roman"/>
          <w:sz w:val="24"/>
          <w:szCs w:val="24"/>
          <w:lang w:val="en-US"/>
        </w:rPr>
        <w:t>San’atshunoslik – qo‘lyozmalardagi miniaturalar, bezak san’ati.</w:t>
      </w:r>
    </w:p>
    <w:p w14:paraId="18EFE366"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2.2. Nazzariylashtirish va qiyosiy adabiyotshunoslik</w:t>
      </w:r>
      <w:r w:rsidRPr="005020B8">
        <w:rPr>
          <w:rFonts w:cs="Times New Roman"/>
          <w:sz w:val="24"/>
          <w:szCs w:val="24"/>
          <w:lang w:val="en-US"/>
        </w:rPr>
        <w:br/>
        <w:t>G‘arb olimlari Navoiyni ko‘pincha boshqa madaniyatlarning buyuk shoirlari (Dante, Shekspir, Nizomiy, Fizuli) bilan solishtiradi. Masalan, “Xamsa” va “Ilahi komediya”dagi axloqiy-idealogik qurilishlar o‘rtasidagi o‘xshashlik va farqlar tahli qilinadi [2: 45-48].</w:t>
      </w:r>
    </w:p>
    <w:p w14:paraId="45F3715C"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2.3. Raqamli metodlarning keng qo‘llanilishi</w:t>
      </w:r>
      <w:r w:rsidRPr="005020B8">
        <w:rPr>
          <w:rFonts w:cs="Times New Roman"/>
          <w:sz w:val="24"/>
          <w:szCs w:val="24"/>
          <w:lang w:val="en-US"/>
        </w:rPr>
        <w:br/>
        <w:t>Yuqoridagi maqolada batafsil yoritilganidek, G‘arbda elektron arxivlar, korpus lingvistikasi, ma’lumotlar vizualizatsiyasi keng qo‘llaniladi.</w:t>
      </w:r>
    </w:p>
    <w:p w14:paraId="27509DD5"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2.4. Tanqidiy va kontekstual tahli</w:t>
      </w:r>
      <w:r w:rsidRPr="005020B8">
        <w:rPr>
          <w:rFonts w:cs="Times New Roman"/>
          <w:sz w:val="24"/>
          <w:szCs w:val="24"/>
          <w:lang w:val="en-US"/>
        </w:rPr>
        <w:br/>
        <w:t>G‘arb tadqiqotchilari Navoiy ijodini shartli ravishda “muqaddaslashtirmay”, uning ijtimoiy, siyosiy, gender jihatlarini tanqidiy tahli qiladi. Masalan, Navoiy asarlaridagi ayollar tasviri, hukmdorlar bilan munosabatlari murakkab kontekstda o‘rganiladi.</w:t>
      </w:r>
    </w:p>
    <w:p w14:paraId="5AC3ABD3"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3. Metodologik farqlarning qiyosiy tahlili</w:t>
      </w:r>
    </w:p>
    <w:p w14:paraId="1FA3A761"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3.1. Kuchli tomonlar</w:t>
      </w:r>
      <w:r w:rsidRPr="005020B8">
        <w:rPr>
          <w:rFonts w:cs="Times New Roman"/>
          <w:sz w:val="24"/>
          <w:szCs w:val="24"/>
          <w:lang w:val="en-US"/>
        </w:rPr>
        <w:br/>
      </w:r>
      <w:r w:rsidRPr="005020B8">
        <w:rPr>
          <w:rFonts w:cs="Times New Roman"/>
          <w:i/>
          <w:iCs/>
          <w:sz w:val="24"/>
          <w:szCs w:val="24"/>
          <w:lang w:val="en-US"/>
        </w:rPr>
        <w:t>Sharq navoiyshunosligi:</w:t>
      </w:r>
    </w:p>
    <w:p w14:paraId="6458F307" w14:textId="77777777" w:rsidR="005020B8" w:rsidRPr="005020B8" w:rsidRDefault="005020B8" w:rsidP="005020B8">
      <w:pPr>
        <w:numPr>
          <w:ilvl w:val="0"/>
          <w:numId w:val="3"/>
        </w:numPr>
        <w:spacing w:after="0" w:line="276" w:lineRule="auto"/>
        <w:rPr>
          <w:rFonts w:cs="Times New Roman"/>
          <w:sz w:val="24"/>
          <w:szCs w:val="24"/>
          <w:lang w:val="en-US"/>
        </w:rPr>
      </w:pPr>
      <w:r w:rsidRPr="005020B8">
        <w:rPr>
          <w:rFonts w:cs="Times New Roman"/>
          <w:sz w:val="24"/>
          <w:szCs w:val="24"/>
          <w:lang w:val="en-US"/>
        </w:rPr>
        <w:t>Matnning aniqligi va ishonchliligini ta’minlaydi.</w:t>
      </w:r>
    </w:p>
    <w:p w14:paraId="437035A0" w14:textId="77777777" w:rsidR="005020B8" w:rsidRPr="005020B8" w:rsidRDefault="005020B8" w:rsidP="005020B8">
      <w:pPr>
        <w:numPr>
          <w:ilvl w:val="0"/>
          <w:numId w:val="3"/>
        </w:numPr>
        <w:spacing w:after="0" w:line="276" w:lineRule="auto"/>
        <w:rPr>
          <w:rFonts w:cs="Times New Roman"/>
          <w:sz w:val="24"/>
          <w:szCs w:val="24"/>
          <w:lang w:val="en-US"/>
        </w:rPr>
      </w:pPr>
      <w:r w:rsidRPr="005020B8">
        <w:rPr>
          <w:rFonts w:cs="Times New Roman"/>
          <w:sz w:val="24"/>
          <w:szCs w:val="24"/>
          <w:lang w:val="en-US"/>
        </w:rPr>
        <w:t>Milliy madaniy merosni saqlash va targ‘ib qilish.</w:t>
      </w:r>
    </w:p>
    <w:p w14:paraId="42C60C0C" w14:textId="77777777" w:rsidR="005020B8" w:rsidRPr="005020B8" w:rsidRDefault="005020B8" w:rsidP="005020B8">
      <w:pPr>
        <w:numPr>
          <w:ilvl w:val="0"/>
          <w:numId w:val="3"/>
        </w:numPr>
        <w:spacing w:after="0" w:line="276" w:lineRule="auto"/>
        <w:rPr>
          <w:rFonts w:cs="Times New Roman"/>
          <w:sz w:val="24"/>
          <w:szCs w:val="24"/>
          <w:lang w:val="en-US"/>
        </w:rPr>
      </w:pPr>
      <w:r w:rsidRPr="005020B8">
        <w:rPr>
          <w:rFonts w:cs="Times New Roman"/>
          <w:sz w:val="24"/>
          <w:szCs w:val="24"/>
          <w:lang w:val="en-US"/>
        </w:rPr>
        <w:t>Til va adabiyotning rivojlanishiga bevosita hissa qo‘shadi.</w:t>
      </w:r>
    </w:p>
    <w:p w14:paraId="42C908CB" w14:textId="77777777" w:rsidR="005020B8" w:rsidRPr="005020B8" w:rsidRDefault="005020B8" w:rsidP="005020B8">
      <w:pPr>
        <w:spacing w:after="0" w:line="276" w:lineRule="auto"/>
        <w:ind w:firstLine="709"/>
        <w:rPr>
          <w:rFonts w:cs="Times New Roman"/>
          <w:sz w:val="24"/>
          <w:szCs w:val="24"/>
        </w:rPr>
      </w:pPr>
      <w:r w:rsidRPr="005020B8">
        <w:rPr>
          <w:rFonts w:cs="Times New Roman"/>
          <w:i/>
          <w:iCs/>
          <w:sz w:val="24"/>
          <w:szCs w:val="24"/>
        </w:rPr>
        <w:t>G‘arb navoiyshunosligi:</w:t>
      </w:r>
    </w:p>
    <w:p w14:paraId="356324D2" w14:textId="77777777" w:rsidR="005020B8" w:rsidRPr="005020B8" w:rsidRDefault="005020B8" w:rsidP="005020B8">
      <w:pPr>
        <w:numPr>
          <w:ilvl w:val="0"/>
          <w:numId w:val="4"/>
        </w:numPr>
        <w:spacing w:after="0" w:line="276" w:lineRule="auto"/>
        <w:rPr>
          <w:rFonts w:cs="Times New Roman"/>
          <w:sz w:val="24"/>
          <w:szCs w:val="24"/>
          <w:lang w:val="en-US"/>
        </w:rPr>
      </w:pPr>
      <w:r w:rsidRPr="005020B8">
        <w:rPr>
          <w:rFonts w:cs="Times New Roman"/>
          <w:sz w:val="24"/>
          <w:szCs w:val="24"/>
          <w:lang w:val="en-US"/>
        </w:rPr>
        <w:t>Yangicha nuqtai nazarlar va nazzariy ramkalarni kiritadi.</w:t>
      </w:r>
    </w:p>
    <w:p w14:paraId="3788544C" w14:textId="77777777" w:rsidR="005020B8" w:rsidRPr="005020B8" w:rsidRDefault="005020B8" w:rsidP="005020B8">
      <w:pPr>
        <w:numPr>
          <w:ilvl w:val="0"/>
          <w:numId w:val="4"/>
        </w:numPr>
        <w:spacing w:after="0" w:line="276" w:lineRule="auto"/>
        <w:rPr>
          <w:rFonts w:cs="Times New Roman"/>
          <w:sz w:val="24"/>
          <w:szCs w:val="24"/>
        </w:rPr>
      </w:pPr>
      <w:r w:rsidRPr="005020B8">
        <w:rPr>
          <w:rFonts w:cs="Times New Roman"/>
          <w:sz w:val="24"/>
          <w:szCs w:val="24"/>
        </w:rPr>
        <w:t>Xalqaro miqyosda Navoiyni tanitadi.</w:t>
      </w:r>
    </w:p>
    <w:p w14:paraId="0416B072" w14:textId="77777777" w:rsidR="005020B8" w:rsidRPr="005020B8" w:rsidRDefault="005020B8" w:rsidP="005020B8">
      <w:pPr>
        <w:numPr>
          <w:ilvl w:val="0"/>
          <w:numId w:val="4"/>
        </w:numPr>
        <w:spacing w:after="0" w:line="276" w:lineRule="auto"/>
        <w:rPr>
          <w:rFonts w:cs="Times New Roman"/>
          <w:sz w:val="24"/>
          <w:szCs w:val="24"/>
        </w:rPr>
      </w:pPr>
      <w:r w:rsidRPr="005020B8">
        <w:rPr>
          <w:rFonts w:cs="Times New Roman"/>
          <w:sz w:val="24"/>
          <w:szCs w:val="24"/>
        </w:rPr>
        <w:t>Innovatsion texnologiyalarni joriy qiladi.</w:t>
      </w:r>
    </w:p>
    <w:p w14:paraId="757BA7CE"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lastRenderedPageBreak/>
        <w:t>3.2. Zaif tomonlar</w:t>
      </w:r>
      <w:r w:rsidRPr="005020B8">
        <w:rPr>
          <w:rFonts w:cs="Times New Roman"/>
          <w:sz w:val="24"/>
          <w:szCs w:val="24"/>
        </w:rPr>
        <w:br/>
      </w:r>
      <w:r w:rsidRPr="005020B8">
        <w:rPr>
          <w:rFonts w:cs="Times New Roman"/>
          <w:i/>
          <w:iCs/>
          <w:sz w:val="24"/>
          <w:szCs w:val="24"/>
        </w:rPr>
        <w:t>Sharq navoiyshunosligi:</w:t>
      </w:r>
    </w:p>
    <w:p w14:paraId="23E171FD" w14:textId="77777777" w:rsidR="005020B8" w:rsidRPr="005020B8" w:rsidRDefault="005020B8" w:rsidP="005020B8">
      <w:pPr>
        <w:numPr>
          <w:ilvl w:val="0"/>
          <w:numId w:val="5"/>
        </w:numPr>
        <w:spacing w:after="0" w:line="276" w:lineRule="auto"/>
        <w:rPr>
          <w:rFonts w:cs="Times New Roman"/>
          <w:sz w:val="24"/>
          <w:szCs w:val="24"/>
          <w:lang w:val="en-US"/>
        </w:rPr>
      </w:pPr>
      <w:r w:rsidRPr="005020B8">
        <w:rPr>
          <w:rFonts w:cs="Times New Roman"/>
          <w:sz w:val="24"/>
          <w:szCs w:val="24"/>
          <w:lang w:val="en-US"/>
        </w:rPr>
        <w:t>Ba’zan dogmatik yondashuv, tanqidiy tahli yetishmasligi.</w:t>
      </w:r>
    </w:p>
    <w:p w14:paraId="1ADEBCF9" w14:textId="77777777" w:rsidR="005020B8" w:rsidRPr="005020B8" w:rsidRDefault="005020B8" w:rsidP="005020B8">
      <w:pPr>
        <w:numPr>
          <w:ilvl w:val="0"/>
          <w:numId w:val="5"/>
        </w:numPr>
        <w:spacing w:after="0" w:line="276" w:lineRule="auto"/>
        <w:rPr>
          <w:rFonts w:cs="Times New Roman"/>
          <w:sz w:val="24"/>
          <w:szCs w:val="24"/>
          <w:lang w:val="en-US"/>
        </w:rPr>
      </w:pPr>
      <w:r w:rsidRPr="005020B8">
        <w:rPr>
          <w:rFonts w:cs="Times New Roman"/>
          <w:sz w:val="24"/>
          <w:szCs w:val="24"/>
          <w:lang w:val="en-US"/>
        </w:rPr>
        <w:t>Xalqaro ilmiy munozaralarda zaif ishtirok.</w:t>
      </w:r>
    </w:p>
    <w:p w14:paraId="6E044990" w14:textId="77777777" w:rsidR="005020B8" w:rsidRPr="005020B8" w:rsidRDefault="005020B8" w:rsidP="005020B8">
      <w:pPr>
        <w:numPr>
          <w:ilvl w:val="0"/>
          <w:numId w:val="5"/>
        </w:numPr>
        <w:spacing w:after="0" w:line="276" w:lineRule="auto"/>
        <w:rPr>
          <w:rFonts w:cs="Times New Roman"/>
          <w:sz w:val="24"/>
          <w:szCs w:val="24"/>
          <w:lang w:val="en-US"/>
        </w:rPr>
      </w:pPr>
      <w:r w:rsidRPr="005020B8">
        <w:rPr>
          <w:rFonts w:cs="Times New Roman"/>
          <w:sz w:val="24"/>
          <w:szCs w:val="24"/>
          <w:lang w:val="en-US"/>
        </w:rPr>
        <w:t>Raqamli metodlarning cheklangan qo‘llanilishi.</w:t>
      </w:r>
    </w:p>
    <w:p w14:paraId="3587007D" w14:textId="77777777" w:rsidR="005020B8" w:rsidRPr="005020B8" w:rsidRDefault="005020B8" w:rsidP="005020B8">
      <w:pPr>
        <w:spacing w:after="0" w:line="276" w:lineRule="auto"/>
        <w:ind w:firstLine="709"/>
        <w:rPr>
          <w:rFonts w:cs="Times New Roman"/>
          <w:sz w:val="24"/>
          <w:szCs w:val="24"/>
        </w:rPr>
      </w:pPr>
      <w:r w:rsidRPr="005020B8">
        <w:rPr>
          <w:rFonts w:cs="Times New Roman"/>
          <w:i/>
          <w:iCs/>
          <w:sz w:val="24"/>
          <w:szCs w:val="24"/>
        </w:rPr>
        <w:t>G‘arb navoiyshunosligi:</w:t>
      </w:r>
    </w:p>
    <w:p w14:paraId="172A99E6" w14:textId="77777777" w:rsidR="005020B8" w:rsidRPr="005020B8" w:rsidRDefault="005020B8" w:rsidP="005020B8">
      <w:pPr>
        <w:numPr>
          <w:ilvl w:val="0"/>
          <w:numId w:val="6"/>
        </w:numPr>
        <w:spacing w:after="0" w:line="276" w:lineRule="auto"/>
        <w:rPr>
          <w:rFonts w:cs="Times New Roman"/>
          <w:sz w:val="24"/>
          <w:szCs w:val="24"/>
          <w:lang w:val="en-US"/>
        </w:rPr>
      </w:pPr>
      <w:r w:rsidRPr="005020B8">
        <w:rPr>
          <w:rFonts w:cs="Times New Roman"/>
          <w:sz w:val="24"/>
          <w:szCs w:val="24"/>
          <w:lang w:val="en-US"/>
        </w:rPr>
        <w:t>Madaniy kontekstni yetarlicha hisobga olmaslik.</w:t>
      </w:r>
    </w:p>
    <w:p w14:paraId="585EC1E7" w14:textId="77777777" w:rsidR="005020B8" w:rsidRPr="005020B8" w:rsidRDefault="005020B8" w:rsidP="005020B8">
      <w:pPr>
        <w:numPr>
          <w:ilvl w:val="0"/>
          <w:numId w:val="6"/>
        </w:numPr>
        <w:spacing w:after="0" w:line="276" w:lineRule="auto"/>
        <w:rPr>
          <w:rFonts w:cs="Times New Roman"/>
          <w:sz w:val="24"/>
          <w:szCs w:val="24"/>
          <w:lang w:val="en-US"/>
        </w:rPr>
      </w:pPr>
      <w:r w:rsidRPr="005020B8">
        <w:rPr>
          <w:rFonts w:cs="Times New Roman"/>
          <w:sz w:val="24"/>
          <w:szCs w:val="24"/>
          <w:lang w:val="en-US"/>
        </w:rPr>
        <w:t>Matnshunoslikda noaniqliklar (chet tillarga tarjima va talqin xatolari).</w:t>
      </w:r>
    </w:p>
    <w:p w14:paraId="4641A158" w14:textId="77777777" w:rsidR="005020B8" w:rsidRPr="005020B8" w:rsidRDefault="005020B8" w:rsidP="005020B8">
      <w:pPr>
        <w:numPr>
          <w:ilvl w:val="0"/>
          <w:numId w:val="6"/>
        </w:numPr>
        <w:spacing w:after="0" w:line="276" w:lineRule="auto"/>
        <w:rPr>
          <w:rFonts w:cs="Times New Roman"/>
          <w:sz w:val="24"/>
          <w:szCs w:val="24"/>
          <w:lang w:val="en-US"/>
        </w:rPr>
      </w:pPr>
      <w:r w:rsidRPr="005020B8">
        <w:rPr>
          <w:rFonts w:cs="Times New Roman"/>
          <w:sz w:val="24"/>
          <w:szCs w:val="24"/>
          <w:lang w:val="en-US"/>
        </w:rPr>
        <w:t>Ba’zan “eksotika” sifatida o‘rganish xavfi.</w:t>
      </w:r>
    </w:p>
    <w:p w14:paraId="5ED7926C"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3.3. O‘zaro ta’sir va integratsiya misollari</w:t>
      </w:r>
      <w:r w:rsidRPr="005020B8">
        <w:rPr>
          <w:rFonts w:cs="Times New Roman"/>
          <w:sz w:val="24"/>
          <w:szCs w:val="24"/>
          <w:lang w:val="en-US"/>
        </w:rPr>
        <w:br/>
        <w:t>So‘nggi yillarda ikkala yo‘nalish o‘rtasida integratsiya kuchaymoqda:</w:t>
      </w:r>
    </w:p>
    <w:p w14:paraId="0F1910D4" w14:textId="77777777" w:rsidR="005020B8" w:rsidRPr="005020B8" w:rsidRDefault="005020B8" w:rsidP="005020B8">
      <w:pPr>
        <w:numPr>
          <w:ilvl w:val="0"/>
          <w:numId w:val="7"/>
        </w:numPr>
        <w:spacing w:after="0" w:line="276" w:lineRule="auto"/>
        <w:rPr>
          <w:rFonts w:cs="Times New Roman"/>
          <w:sz w:val="24"/>
          <w:szCs w:val="24"/>
          <w:lang w:val="en-US"/>
        </w:rPr>
      </w:pPr>
      <w:r w:rsidRPr="005020B8">
        <w:rPr>
          <w:rFonts w:cs="Times New Roman"/>
          <w:sz w:val="24"/>
          <w:szCs w:val="24"/>
          <w:lang w:val="en-US"/>
        </w:rPr>
        <w:t>Qo‘shma loyihalar – O‘zbekiston va Germaniya olimlarining “Navoiy Digital” loyihasi.</w:t>
      </w:r>
    </w:p>
    <w:p w14:paraId="4FA75574" w14:textId="77777777" w:rsidR="005020B8" w:rsidRPr="005020B8" w:rsidRDefault="005020B8" w:rsidP="005020B8">
      <w:pPr>
        <w:numPr>
          <w:ilvl w:val="0"/>
          <w:numId w:val="7"/>
        </w:numPr>
        <w:spacing w:after="0" w:line="276" w:lineRule="auto"/>
        <w:rPr>
          <w:rFonts w:cs="Times New Roman"/>
          <w:sz w:val="24"/>
          <w:szCs w:val="24"/>
          <w:lang w:val="en-US"/>
        </w:rPr>
      </w:pPr>
      <w:r w:rsidRPr="005020B8">
        <w:rPr>
          <w:rFonts w:cs="Times New Roman"/>
          <w:sz w:val="24"/>
          <w:szCs w:val="24"/>
          <w:lang w:val="en-US"/>
        </w:rPr>
        <w:t>Xalqaro konferensiyalar – Toshkent, Istanbul, Berlin, Harvardda o‘tkazilgan navoiyshunoslik simpoziumlari.</w:t>
      </w:r>
    </w:p>
    <w:p w14:paraId="61862512" w14:textId="77777777" w:rsidR="005020B8" w:rsidRPr="005020B8" w:rsidRDefault="005020B8" w:rsidP="005020B8">
      <w:pPr>
        <w:numPr>
          <w:ilvl w:val="0"/>
          <w:numId w:val="7"/>
        </w:numPr>
        <w:spacing w:after="0" w:line="276" w:lineRule="auto"/>
        <w:rPr>
          <w:rFonts w:cs="Times New Roman"/>
          <w:sz w:val="24"/>
          <w:szCs w:val="24"/>
          <w:lang w:val="en-US"/>
        </w:rPr>
      </w:pPr>
      <w:r w:rsidRPr="005020B8">
        <w:rPr>
          <w:rFonts w:cs="Times New Roman"/>
          <w:sz w:val="24"/>
          <w:szCs w:val="24"/>
          <w:lang w:val="en-US"/>
        </w:rPr>
        <w:t>O‘zaro tarjimalar – G‘arb tadqiqotlarining o‘zbek tiliga, sharq tadqiqotlarining ingliz tiliga tarjima qilinishi.</w:t>
      </w:r>
    </w:p>
    <w:p w14:paraId="72490CE3"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4. Zamonaviy navoiyshunoslikda metodologik sintez istiqbollari</w:t>
      </w:r>
    </w:p>
    <w:p w14:paraId="77804923"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4.1. “An’ana va innovatsiya” sintezi</w:t>
      </w:r>
      <w:r w:rsidRPr="005020B8">
        <w:rPr>
          <w:rFonts w:cs="Times New Roman"/>
          <w:sz w:val="24"/>
          <w:szCs w:val="24"/>
          <w:lang w:val="en-US"/>
        </w:rPr>
        <w:br/>
        <w:t>Kelajakda samarali navoiyshunoslik quyidagi sintezga asoslanishi mumkin:</w:t>
      </w:r>
    </w:p>
    <w:p w14:paraId="0F82BA7B" w14:textId="77777777" w:rsidR="005020B8" w:rsidRPr="005020B8" w:rsidRDefault="005020B8" w:rsidP="005020B8">
      <w:pPr>
        <w:numPr>
          <w:ilvl w:val="0"/>
          <w:numId w:val="8"/>
        </w:numPr>
        <w:spacing w:after="0" w:line="276" w:lineRule="auto"/>
        <w:rPr>
          <w:rFonts w:cs="Times New Roman"/>
          <w:sz w:val="24"/>
          <w:szCs w:val="24"/>
          <w:lang w:val="en-US"/>
        </w:rPr>
      </w:pPr>
      <w:r w:rsidRPr="005020B8">
        <w:rPr>
          <w:rFonts w:cs="Times New Roman"/>
          <w:sz w:val="24"/>
          <w:szCs w:val="24"/>
          <w:lang w:val="en-US"/>
        </w:rPr>
        <w:t>Matnning aniqligi (sharq an’anasi) + nazzariy chuqurlik (g‘arb usuli).</w:t>
      </w:r>
    </w:p>
    <w:p w14:paraId="2538B06A" w14:textId="77777777" w:rsidR="005020B8" w:rsidRPr="005020B8" w:rsidRDefault="005020B8" w:rsidP="005020B8">
      <w:pPr>
        <w:numPr>
          <w:ilvl w:val="0"/>
          <w:numId w:val="8"/>
        </w:numPr>
        <w:spacing w:after="0" w:line="276" w:lineRule="auto"/>
        <w:rPr>
          <w:rFonts w:cs="Times New Roman"/>
          <w:sz w:val="24"/>
          <w:szCs w:val="24"/>
          <w:lang w:val="en-US"/>
        </w:rPr>
      </w:pPr>
      <w:r w:rsidRPr="005020B8">
        <w:rPr>
          <w:rFonts w:cs="Times New Roman"/>
          <w:sz w:val="24"/>
          <w:szCs w:val="24"/>
          <w:lang w:val="en-US"/>
        </w:rPr>
        <w:t>Madaniy kontekstni hisobga olish (sharq) + global qiyosiy tahli (g‘arb).</w:t>
      </w:r>
    </w:p>
    <w:p w14:paraId="0AD4A109" w14:textId="77777777" w:rsidR="005020B8" w:rsidRPr="005020B8" w:rsidRDefault="005020B8" w:rsidP="005020B8">
      <w:pPr>
        <w:numPr>
          <w:ilvl w:val="0"/>
          <w:numId w:val="8"/>
        </w:numPr>
        <w:spacing w:after="0" w:line="276" w:lineRule="auto"/>
        <w:rPr>
          <w:rFonts w:cs="Times New Roman"/>
          <w:sz w:val="24"/>
          <w:szCs w:val="24"/>
          <w:lang w:val="en-US"/>
        </w:rPr>
      </w:pPr>
      <w:r w:rsidRPr="005020B8">
        <w:rPr>
          <w:rFonts w:cs="Times New Roman"/>
          <w:sz w:val="24"/>
          <w:szCs w:val="24"/>
          <w:lang w:val="en-US"/>
        </w:rPr>
        <w:t>Og‘zaki an’analar (sharq) + raqamli arxivlar (g‘arb).</w:t>
      </w:r>
    </w:p>
    <w:p w14:paraId="1A329789"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t>4.2. Yangi yo‘nalishlar</w:t>
      </w:r>
    </w:p>
    <w:p w14:paraId="21EC1E44" w14:textId="77777777" w:rsidR="005020B8" w:rsidRPr="005020B8" w:rsidRDefault="005020B8" w:rsidP="005020B8">
      <w:pPr>
        <w:numPr>
          <w:ilvl w:val="0"/>
          <w:numId w:val="9"/>
        </w:numPr>
        <w:spacing w:after="0" w:line="276" w:lineRule="auto"/>
        <w:rPr>
          <w:rFonts w:cs="Times New Roman"/>
          <w:sz w:val="24"/>
          <w:szCs w:val="24"/>
          <w:lang w:val="en-US"/>
        </w:rPr>
      </w:pPr>
      <w:r w:rsidRPr="005020B8">
        <w:rPr>
          <w:rFonts w:cs="Times New Roman"/>
          <w:sz w:val="24"/>
          <w:szCs w:val="24"/>
          <w:lang w:val="en-US"/>
        </w:rPr>
        <w:t>Ekofilologiya – Navoiy asarlaridagi tabiat tasviri va ekologik ong.</w:t>
      </w:r>
    </w:p>
    <w:p w14:paraId="7A51D2B8" w14:textId="77777777" w:rsidR="005020B8" w:rsidRPr="005020B8" w:rsidRDefault="005020B8" w:rsidP="005020B8">
      <w:pPr>
        <w:numPr>
          <w:ilvl w:val="0"/>
          <w:numId w:val="9"/>
        </w:numPr>
        <w:spacing w:after="0" w:line="276" w:lineRule="auto"/>
        <w:rPr>
          <w:rFonts w:cs="Times New Roman"/>
          <w:sz w:val="24"/>
          <w:szCs w:val="24"/>
          <w:lang w:val="en-US"/>
        </w:rPr>
      </w:pPr>
      <w:r w:rsidRPr="005020B8">
        <w:rPr>
          <w:rFonts w:cs="Times New Roman"/>
          <w:sz w:val="24"/>
          <w:szCs w:val="24"/>
          <w:lang w:val="en-US"/>
        </w:rPr>
        <w:t>Translatsiya tadqiqotlari – Navoiy asarlarining turli tillardagi tarjimalari tahlii.</w:t>
      </w:r>
    </w:p>
    <w:p w14:paraId="300DC9A4" w14:textId="77777777" w:rsidR="005020B8" w:rsidRPr="005020B8" w:rsidRDefault="005020B8" w:rsidP="005020B8">
      <w:pPr>
        <w:numPr>
          <w:ilvl w:val="0"/>
          <w:numId w:val="9"/>
        </w:numPr>
        <w:spacing w:after="0" w:line="276" w:lineRule="auto"/>
        <w:rPr>
          <w:rFonts w:cs="Times New Roman"/>
          <w:sz w:val="24"/>
          <w:szCs w:val="24"/>
          <w:lang w:val="en-US"/>
        </w:rPr>
      </w:pPr>
      <w:r w:rsidRPr="005020B8">
        <w:rPr>
          <w:rFonts w:cs="Times New Roman"/>
          <w:sz w:val="24"/>
          <w:szCs w:val="24"/>
          <w:lang w:val="en-US"/>
        </w:rPr>
        <w:t>Madaniy meros raqamlashtirish – UNESCO bilan hamkorlikda Navoiy qo‘lyozmalarini Jahon madaniy merosi ro‘yxatiga kiritish va raqamlashtirish.</w:t>
      </w:r>
    </w:p>
    <w:p w14:paraId="1BFD6887" w14:textId="77777777"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lang w:val="en-US"/>
        </w:rPr>
        <w:t>4.3. Ta’limda integratsiya</w:t>
      </w:r>
      <w:r w:rsidRPr="005020B8">
        <w:rPr>
          <w:rFonts w:cs="Times New Roman"/>
          <w:sz w:val="24"/>
          <w:szCs w:val="24"/>
          <w:lang w:val="en-US"/>
        </w:rPr>
        <w:br/>
        <w:t>O‘zbekiston va boshqa sharq mamlakatlari universitetlarida navoiyshunoslik dasturlariga G‘arb metodologiyasi elementlari, G‘arb universitetlarida esa sharq uslubidagi matnshunoslik kurslari kiritilishi mumkin.</w:t>
      </w:r>
    </w:p>
    <w:p w14:paraId="639FD59D" w14:textId="77777777" w:rsidR="005020B8" w:rsidRPr="005020B8" w:rsidRDefault="005020B8" w:rsidP="005020B8">
      <w:pPr>
        <w:spacing w:after="0" w:line="276" w:lineRule="auto"/>
        <w:ind w:firstLine="709"/>
        <w:rPr>
          <w:rFonts w:cs="Times New Roman"/>
          <w:b/>
          <w:bCs/>
          <w:sz w:val="24"/>
          <w:szCs w:val="24"/>
        </w:rPr>
      </w:pPr>
      <w:r w:rsidRPr="005020B8">
        <w:rPr>
          <w:rFonts w:cs="Times New Roman"/>
          <w:b/>
          <w:bCs/>
          <w:sz w:val="24"/>
          <w:szCs w:val="24"/>
        </w:rPr>
        <w:t>Xulosa</w:t>
      </w:r>
    </w:p>
    <w:p w14:paraId="05D2C852"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t>Sharq va G‘arb navoiyshunosligidagi metodologik farqlar ularning tarixiy, madaniy va intellektual an’analaridagi farqlardan kelib chiqadi. Sharq an’anasi matnning aniqligi, milliy merosni saqlash va targ‘ib qilishga, G‘arb an’anasi esa nazzariylashtirish, interdisiplinarlik va global kontekstga e’tibor qaratadi. Ikkala yo‘nalishning o‘ziga xos kuchli tomonlari mavjud bo‘lib, ularning o‘zaro ta’siri va sintezi zamonaviy navoiyshunoslikni yanada boyitishi mumkin.</w:t>
      </w:r>
    </w:p>
    <w:p w14:paraId="025BB4EE" w14:textId="77777777" w:rsidR="005020B8" w:rsidRPr="005020B8" w:rsidRDefault="005020B8" w:rsidP="005020B8">
      <w:pPr>
        <w:spacing w:after="0" w:line="276" w:lineRule="auto"/>
        <w:ind w:firstLine="709"/>
        <w:rPr>
          <w:rFonts w:cs="Times New Roman"/>
          <w:sz w:val="24"/>
          <w:szCs w:val="24"/>
        </w:rPr>
      </w:pPr>
      <w:r w:rsidRPr="005020B8">
        <w:rPr>
          <w:rFonts w:cs="Times New Roman"/>
          <w:sz w:val="24"/>
          <w:szCs w:val="24"/>
        </w:rPr>
        <w:t>Kelajakda navoiyshunoslikning rivojlanishi ikkala an’ananing eng yaxshi tomonlarini uyg‘unlashtirishga, shuningdek, yangi metodologik yondashuvlar (raqamli gumanitar fanlar, madaniyatshunoslik, ekofilologiya)ni joriy etishga bog‘liq. O‘zbekiston ilmiy hamjamiyatining bu jarayonda faol ishtirok etishi, xalqaro hamkorlikni kuchaytirishi va yangi avlod navoiyshunoslarini zamonaviy metodlar bilan qurollantirishi globallashuv sharoitida muhim ahamiyatga ega.</w:t>
      </w:r>
    </w:p>
    <w:p w14:paraId="0204F66B" w14:textId="64BD974A" w:rsidR="005020B8" w:rsidRPr="005020B8" w:rsidRDefault="005020B8" w:rsidP="005020B8">
      <w:pPr>
        <w:spacing w:after="0" w:line="276" w:lineRule="auto"/>
        <w:ind w:firstLine="709"/>
        <w:rPr>
          <w:rFonts w:cs="Times New Roman"/>
          <w:sz w:val="24"/>
          <w:szCs w:val="24"/>
          <w:lang w:val="en-US"/>
        </w:rPr>
      </w:pPr>
      <w:r w:rsidRPr="005020B8">
        <w:rPr>
          <w:rFonts w:cs="Times New Roman"/>
          <w:sz w:val="24"/>
          <w:szCs w:val="24"/>
        </w:rPr>
        <w:t xml:space="preserve">Navoiy merosi nafaqat o‘tmishga qaratilgan tadqiqot ob’ekti, balki kelajakka yo‘naltirilgan madaniy dialog vositasi sifatida ham o‘rganilishi lozim. Bu dialogni samarali </w:t>
      </w:r>
      <w:r w:rsidRPr="005020B8">
        <w:rPr>
          <w:rFonts w:cs="Times New Roman"/>
          <w:sz w:val="24"/>
          <w:szCs w:val="24"/>
        </w:rPr>
        <w:lastRenderedPageBreak/>
        <w:t>amalga oshirish uchun Sharq va G‘arb navoiyshunosligi o‘rtasidagi metodologik farqlarni tushunish va ularni ijodiy uyg‘unlashtirish zarur.</w:t>
      </w:r>
    </w:p>
    <w:p w14:paraId="136E2750" w14:textId="77777777" w:rsidR="005020B8" w:rsidRPr="005020B8" w:rsidRDefault="005020B8" w:rsidP="005020B8">
      <w:pPr>
        <w:spacing w:after="0" w:line="276" w:lineRule="auto"/>
        <w:ind w:firstLine="709"/>
        <w:rPr>
          <w:rFonts w:cs="Times New Roman"/>
          <w:b/>
          <w:bCs/>
          <w:sz w:val="24"/>
          <w:szCs w:val="24"/>
        </w:rPr>
      </w:pPr>
      <w:r w:rsidRPr="005020B8">
        <w:rPr>
          <w:rFonts w:cs="Times New Roman"/>
          <w:b/>
          <w:bCs/>
          <w:sz w:val="24"/>
          <w:szCs w:val="24"/>
        </w:rPr>
        <w:t>FOYDALANILGAN ADABIYOTLAR RO‘YXATI</w:t>
      </w:r>
    </w:p>
    <w:p w14:paraId="03E6E3A3"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Karimov N. Navoiyshunoslik: an’ana va zamonaviylik. – Toshkent: Fan, 2019. – 256 b.</w:t>
      </w:r>
    </w:p>
    <w:p w14:paraId="4BB797D7"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Smith J. Comparative Epic Literature: Navoiy’s Khamsa in World Context. – Cambridge: Cambridge University Press, 2021. – 312 p.</w:t>
      </w:r>
    </w:p>
    <w:p w14:paraId="5D48F2B6"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O‘rinov O. Sharq va G‘arbda Alisher Navoiy tadqiqotlari. – Toshkent: O‘zbekiston Milliy kutubxonasi nashriyoti, 2020. – 187 b.</w:t>
      </w:r>
    </w:p>
    <w:p w14:paraId="529427A1"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Müller K. Interdisciplinary Approaches to Classical Eastern Literature. – Berlin: Springer, 2020. – 234 p.</w:t>
      </w:r>
    </w:p>
    <w:p w14:paraId="18C11A77"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Navoiy A. Xamsa / Tahrir va izohlar: A. Hayitmetov. – Toshkent: G‘afur G‘ulom nomidagi nashriyot, 2018. – 856 b.</w:t>
      </w:r>
    </w:p>
    <w:p w14:paraId="43210BF1"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Yuldasheva M. G‘arb navoiyshunosligi: metodologiya va natijalar // O‘zbek adabiyoti. – 2022. – № 3. – B. 45-59.</w:t>
      </w:r>
    </w:p>
    <w:p w14:paraId="65D3E5AE"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“Navoiy Digital” Project Documentation // Berlin University Oriental Studies Center. – 2022. – URL: </w:t>
      </w:r>
      <w:hyperlink r:id="rId5" w:tgtFrame="_blank" w:history="1">
        <w:r w:rsidRPr="005020B8">
          <w:rPr>
            <w:rStyle w:val="ac"/>
            <w:rFonts w:cs="Times New Roman"/>
            <w:sz w:val="24"/>
            <w:szCs w:val="24"/>
            <w:lang w:val="en-US"/>
          </w:rPr>
          <w:t>https://www.berlinuni-navoiy.digital</w:t>
        </w:r>
      </w:hyperlink>
      <w:r w:rsidRPr="005020B8">
        <w:rPr>
          <w:rFonts w:cs="Times New Roman"/>
          <w:sz w:val="24"/>
          <w:szCs w:val="24"/>
          <w:lang w:val="en-US"/>
        </w:rPr>
        <w:t> (kirish sanasi: 15.03.2024).</w:t>
      </w:r>
    </w:p>
    <w:p w14:paraId="0D1F28D8" w14:textId="77777777" w:rsidR="005020B8" w:rsidRPr="005020B8" w:rsidRDefault="005020B8" w:rsidP="005020B8">
      <w:pPr>
        <w:numPr>
          <w:ilvl w:val="0"/>
          <w:numId w:val="10"/>
        </w:numPr>
        <w:spacing w:after="0" w:line="276" w:lineRule="auto"/>
        <w:rPr>
          <w:rFonts w:cs="Times New Roman"/>
          <w:sz w:val="24"/>
          <w:szCs w:val="24"/>
          <w:lang w:val="en-US"/>
        </w:rPr>
      </w:pPr>
      <w:r w:rsidRPr="005020B8">
        <w:rPr>
          <w:rFonts w:cs="Times New Roman"/>
          <w:sz w:val="24"/>
          <w:szCs w:val="24"/>
          <w:lang w:val="en-US"/>
        </w:rPr>
        <w:t>Johnson L. Textual Criticism and Digital Humanities: New Directions in Navoi Studies // Journal of Digital Oriental Studies. – 2023. – № 1. – P. 112-128.</w:t>
      </w:r>
    </w:p>
    <w:p w14:paraId="10175CD9" w14:textId="77777777" w:rsidR="00F12C76" w:rsidRPr="005020B8" w:rsidRDefault="00F12C76" w:rsidP="006C0B77">
      <w:pPr>
        <w:spacing w:after="0"/>
        <w:ind w:firstLine="709"/>
        <w:jc w:val="both"/>
        <w:rPr>
          <w:lang w:val="en-US"/>
        </w:rPr>
      </w:pPr>
    </w:p>
    <w:sectPr w:rsidR="00F12C76" w:rsidRPr="005020B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059C"/>
    <w:multiLevelType w:val="multilevel"/>
    <w:tmpl w:val="B0BE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577E7"/>
    <w:multiLevelType w:val="multilevel"/>
    <w:tmpl w:val="3FDA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778C8"/>
    <w:multiLevelType w:val="multilevel"/>
    <w:tmpl w:val="EB2C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C0294"/>
    <w:multiLevelType w:val="multilevel"/>
    <w:tmpl w:val="33F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2090F"/>
    <w:multiLevelType w:val="multilevel"/>
    <w:tmpl w:val="87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F013C"/>
    <w:multiLevelType w:val="multilevel"/>
    <w:tmpl w:val="0C0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9550B"/>
    <w:multiLevelType w:val="multilevel"/>
    <w:tmpl w:val="9BB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E7BAA"/>
    <w:multiLevelType w:val="multilevel"/>
    <w:tmpl w:val="14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816AA"/>
    <w:multiLevelType w:val="multilevel"/>
    <w:tmpl w:val="791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E27D0"/>
    <w:multiLevelType w:val="multilevel"/>
    <w:tmpl w:val="046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938826">
    <w:abstractNumId w:val="4"/>
  </w:num>
  <w:num w:numId="2" w16cid:durableId="453716005">
    <w:abstractNumId w:val="5"/>
  </w:num>
  <w:num w:numId="3" w16cid:durableId="977681873">
    <w:abstractNumId w:val="3"/>
  </w:num>
  <w:num w:numId="4" w16cid:durableId="904535147">
    <w:abstractNumId w:val="2"/>
  </w:num>
  <w:num w:numId="5" w16cid:durableId="318505492">
    <w:abstractNumId w:val="9"/>
  </w:num>
  <w:num w:numId="6" w16cid:durableId="1038821077">
    <w:abstractNumId w:val="6"/>
  </w:num>
  <w:num w:numId="7" w16cid:durableId="1548954565">
    <w:abstractNumId w:val="8"/>
  </w:num>
  <w:num w:numId="8" w16cid:durableId="753358451">
    <w:abstractNumId w:val="7"/>
  </w:num>
  <w:num w:numId="9" w16cid:durableId="1628242700">
    <w:abstractNumId w:val="1"/>
  </w:num>
  <w:num w:numId="10" w16cid:durableId="50772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18"/>
    <w:rsid w:val="00060A5A"/>
    <w:rsid w:val="00454538"/>
    <w:rsid w:val="005020B8"/>
    <w:rsid w:val="00503618"/>
    <w:rsid w:val="00522A13"/>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66572"/>
  <w15:chartTrackingRefBased/>
  <w15:docId w15:val="{5BB37B48-A2E8-4C0B-BEF8-819FBFF3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036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036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0361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0361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0361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036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0361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0361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0361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361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0361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0361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0361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0361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0361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0361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0361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03618"/>
    <w:rPr>
      <w:rFonts w:eastAsiaTheme="majorEastAsia" w:cstheme="majorBidi"/>
      <w:color w:val="272727" w:themeColor="text1" w:themeTint="D8"/>
      <w:sz w:val="28"/>
    </w:rPr>
  </w:style>
  <w:style w:type="paragraph" w:styleId="a3">
    <w:name w:val="Title"/>
    <w:basedOn w:val="a"/>
    <w:next w:val="a"/>
    <w:link w:val="a4"/>
    <w:uiPriority w:val="10"/>
    <w:qFormat/>
    <w:rsid w:val="0050361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36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361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036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3618"/>
    <w:pPr>
      <w:spacing w:before="160"/>
      <w:jc w:val="center"/>
    </w:pPr>
    <w:rPr>
      <w:i/>
      <w:iCs/>
      <w:color w:val="404040" w:themeColor="text1" w:themeTint="BF"/>
    </w:rPr>
  </w:style>
  <w:style w:type="character" w:customStyle="1" w:styleId="22">
    <w:name w:val="Цитата 2 Знак"/>
    <w:basedOn w:val="a0"/>
    <w:link w:val="21"/>
    <w:uiPriority w:val="29"/>
    <w:rsid w:val="00503618"/>
    <w:rPr>
      <w:rFonts w:ascii="Times New Roman" w:hAnsi="Times New Roman"/>
      <w:i/>
      <w:iCs/>
      <w:color w:val="404040" w:themeColor="text1" w:themeTint="BF"/>
      <w:sz w:val="28"/>
    </w:rPr>
  </w:style>
  <w:style w:type="paragraph" w:styleId="a7">
    <w:name w:val="List Paragraph"/>
    <w:basedOn w:val="a"/>
    <w:uiPriority w:val="34"/>
    <w:qFormat/>
    <w:rsid w:val="00503618"/>
    <w:pPr>
      <w:ind w:left="720"/>
      <w:contextualSpacing/>
    </w:pPr>
  </w:style>
  <w:style w:type="character" w:styleId="a8">
    <w:name w:val="Intense Emphasis"/>
    <w:basedOn w:val="a0"/>
    <w:uiPriority w:val="21"/>
    <w:qFormat/>
    <w:rsid w:val="00503618"/>
    <w:rPr>
      <w:i/>
      <w:iCs/>
      <w:color w:val="2E74B5" w:themeColor="accent1" w:themeShade="BF"/>
    </w:rPr>
  </w:style>
  <w:style w:type="paragraph" w:styleId="a9">
    <w:name w:val="Intense Quote"/>
    <w:basedOn w:val="a"/>
    <w:next w:val="a"/>
    <w:link w:val="aa"/>
    <w:uiPriority w:val="30"/>
    <w:qFormat/>
    <w:rsid w:val="005036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03618"/>
    <w:rPr>
      <w:rFonts w:ascii="Times New Roman" w:hAnsi="Times New Roman"/>
      <w:i/>
      <w:iCs/>
      <w:color w:val="2E74B5" w:themeColor="accent1" w:themeShade="BF"/>
      <w:sz w:val="28"/>
    </w:rPr>
  </w:style>
  <w:style w:type="character" w:styleId="ab">
    <w:name w:val="Intense Reference"/>
    <w:basedOn w:val="a0"/>
    <w:uiPriority w:val="32"/>
    <w:qFormat/>
    <w:rsid w:val="00503618"/>
    <w:rPr>
      <w:b/>
      <w:bCs/>
      <w:smallCaps/>
      <w:color w:val="2E74B5" w:themeColor="accent1" w:themeShade="BF"/>
      <w:spacing w:val="5"/>
    </w:rPr>
  </w:style>
  <w:style w:type="character" w:styleId="ac">
    <w:name w:val="Hyperlink"/>
    <w:basedOn w:val="a0"/>
    <w:uiPriority w:val="99"/>
    <w:unhideWhenUsed/>
    <w:rsid w:val="005020B8"/>
    <w:rPr>
      <w:color w:val="0563C1" w:themeColor="hyperlink"/>
      <w:u w:val="single"/>
    </w:rPr>
  </w:style>
  <w:style w:type="character" w:styleId="ad">
    <w:name w:val="Unresolved Mention"/>
    <w:basedOn w:val="a0"/>
    <w:uiPriority w:val="99"/>
    <w:semiHidden/>
    <w:unhideWhenUsed/>
    <w:rsid w:val="00502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erlinuni-navoiy.digita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dcterms:created xsi:type="dcterms:W3CDTF">2026-02-04T19:38:00Z</dcterms:created>
  <dcterms:modified xsi:type="dcterms:W3CDTF">2026-02-04T19:46:00Z</dcterms:modified>
</cp:coreProperties>
</file>