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E907" w14:textId="77777777" w:rsidR="00696282" w:rsidRDefault="00AE26DB" w:rsidP="00BF3E5E">
      <w:pPr>
        <w:pStyle w:val="Heading2"/>
        <w:spacing w:line="240" w:lineRule="auto"/>
        <w:rPr>
          <w:rFonts w:ascii="Cambria" w:hAnsi="Cambria"/>
          <w:b/>
          <w:sz w:val="28"/>
          <w:szCs w:val="28"/>
        </w:rPr>
      </w:pPr>
      <w:r w:rsidRPr="00BF3E5E">
        <w:rPr>
          <w:rFonts w:ascii="Cambria" w:hAnsi="Cambria"/>
          <w:b/>
          <w:sz w:val="28"/>
          <w:szCs w:val="28"/>
        </w:rPr>
        <w:t>Accounts Payable Invoice Process</w:t>
      </w:r>
    </w:p>
    <w:p w14:paraId="29C97FD8" w14:textId="77777777" w:rsidR="004850FE" w:rsidRPr="00060012" w:rsidRDefault="004850FE" w:rsidP="004850FE">
      <w:pPr>
        <w:rPr>
          <w:b/>
          <w:color w:val="4472C4" w:themeColor="accent1"/>
          <w:sz w:val="26"/>
          <w:szCs w:val="26"/>
        </w:rPr>
      </w:pPr>
    </w:p>
    <w:p w14:paraId="323A5431" w14:textId="61A917D5" w:rsidR="00060012" w:rsidRPr="00060012" w:rsidRDefault="00060012" w:rsidP="004850FE">
      <w:pPr>
        <w:rPr>
          <w:b/>
          <w:sz w:val="26"/>
          <w:szCs w:val="26"/>
        </w:rPr>
      </w:pPr>
      <w:r w:rsidRPr="00060012">
        <w:rPr>
          <w:b/>
          <w:color w:val="4472C4" w:themeColor="accent1"/>
          <w:sz w:val="26"/>
          <w:szCs w:val="26"/>
        </w:rPr>
        <w:t>Client Name</w:t>
      </w:r>
      <w:r>
        <w:rPr>
          <w:b/>
          <w:color w:val="4472C4" w:themeColor="accent1"/>
          <w:sz w:val="26"/>
          <w:szCs w:val="26"/>
        </w:rPr>
        <w:t xml:space="preserve">: </w:t>
      </w:r>
      <w:r w:rsidR="00387D48">
        <w:rPr>
          <w:b/>
          <w:sz w:val="26"/>
          <w:szCs w:val="26"/>
        </w:rPr>
        <w:t>xxxxxxx</w:t>
      </w:r>
    </w:p>
    <w:p w14:paraId="02BCA3A9" w14:textId="77777777" w:rsidR="00161EBF" w:rsidRPr="00161EBF" w:rsidRDefault="00696282" w:rsidP="00161EBF">
      <w:pPr>
        <w:pStyle w:val="Heading2"/>
        <w:spacing w:line="240" w:lineRule="auto"/>
      </w:pPr>
      <w:r w:rsidRPr="00696282">
        <w:rPr>
          <w:rFonts w:asciiTheme="minorHAnsi" w:hAnsiTheme="minorHAnsi"/>
          <w:b/>
          <w:color w:val="4472C4" w:themeColor="accent1"/>
        </w:rPr>
        <w:t>Background</w:t>
      </w:r>
    </w:p>
    <w:p w14:paraId="19DF454A" w14:textId="77777777" w:rsidR="00167AA1" w:rsidRPr="00167AA1" w:rsidRDefault="00060012" w:rsidP="00C0646D">
      <w:pPr>
        <w:spacing w:line="240" w:lineRule="auto"/>
        <w:jc w:val="both"/>
      </w:pPr>
      <w:r>
        <w:t>A large multinational manufacturing conglomerate turned to Cognizant for help in processing about 80,000 supplier invoices a year. The client wanted to ensure accurate, timely payments to support its financial management and compliance efforts and to maintain great supplier relationships.</w:t>
      </w:r>
    </w:p>
    <w:p w14:paraId="2571F8E2" w14:textId="77777777" w:rsidR="00C0646D" w:rsidRDefault="00C0646D" w:rsidP="00BF3E5E">
      <w:pPr>
        <w:pStyle w:val="Heading2"/>
        <w:spacing w:line="240" w:lineRule="auto"/>
        <w:rPr>
          <w:rFonts w:asciiTheme="minorHAnsi" w:hAnsiTheme="minorHAnsi"/>
          <w:b/>
          <w:color w:val="4472C4" w:themeColor="accent1"/>
        </w:rPr>
      </w:pPr>
    </w:p>
    <w:p w14:paraId="2065CE25" w14:textId="77777777" w:rsidR="001144A0" w:rsidRDefault="001144A0" w:rsidP="00BF3E5E">
      <w:pPr>
        <w:pStyle w:val="Heading2"/>
        <w:spacing w:line="240" w:lineRule="auto"/>
        <w:rPr>
          <w:rFonts w:asciiTheme="minorHAnsi" w:hAnsiTheme="minorHAnsi"/>
          <w:b/>
          <w:color w:val="4472C4" w:themeColor="accent1"/>
        </w:rPr>
      </w:pPr>
      <w:r w:rsidRPr="001144A0">
        <w:rPr>
          <w:rFonts w:asciiTheme="minorHAnsi" w:hAnsiTheme="minorHAnsi"/>
          <w:b/>
          <w:color w:val="4472C4" w:themeColor="accent1"/>
        </w:rPr>
        <w:t>Challenges</w:t>
      </w:r>
    </w:p>
    <w:p w14:paraId="7CA22553" w14:textId="77777777" w:rsidR="00AF15E8" w:rsidRDefault="00927698" w:rsidP="00C0646D">
      <w:pPr>
        <w:spacing w:line="240" w:lineRule="auto"/>
        <w:jc w:val="both"/>
        <w:rPr>
          <w:color w:val="000000"/>
          <w:shd w:val="clear" w:color="auto" w:fill="FFFFFF"/>
        </w:rPr>
      </w:pPr>
      <w:r w:rsidRPr="00927698">
        <w:rPr>
          <w:color w:val="000000"/>
          <w:shd w:val="clear" w:color="auto" w:fill="FFFFFF"/>
        </w:rPr>
        <w:t xml:space="preserve">A </w:t>
      </w:r>
      <w:r w:rsidR="00060012" w:rsidRPr="00927698">
        <w:rPr>
          <w:color w:val="000000"/>
          <w:shd w:val="clear" w:color="auto" w:fill="FFFFFF"/>
        </w:rPr>
        <w:t>massive, error-prone manual tasks and data entry involving multiple application screens made meeting this objective a challenge. To overcome this challenge, the company turned to Cognizant to fully automate its critical accounts payable invoice preparation process.</w:t>
      </w:r>
    </w:p>
    <w:p w14:paraId="737ED0B8" w14:textId="77777777" w:rsidR="00AA65C9" w:rsidRDefault="00AA65C9" w:rsidP="00BF3E5E">
      <w:pPr>
        <w:spacing w:line="240" w:lineRule="auto"/>
        <w:rPr>
          <w:color w:val="000000"/>
          <w:shd w:val="clear" w:color="auto" w:fill="FFFFFF"/>
        </w:rPr>
      </w:pPr>
    </w:p>
    <w:p w14:paraId="631A0E84" w14:textId="77777777" w:rsidR="00AA65C9" w:rsidRPr="00927698" w:rsidRDefault="00AA65C9" w:rsidP="00BF3E5E">
      <w:pPr>
        <w:spacing w:line="240" w:lineRule="auto"/>
        <w:rPr>
          <w:rFonts w:cs="Arial"/>
          <w:b/>
          <w:color w:val="4472C4" w:themeColor="accent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4823E5D" wp14:editId="239F50FA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88A" w14:textId="77777777" w:rsidR="00C0646D" w:rsidRDefault="00C0646D" w:rsidP="00BF3E5E">
      <w:pPr>
        <w:pStyle w:val="Heading2"/>
        <w:spacing w:line="240" w:lineRule="auto"/>
        <w:rPr>
          <w:rFonts w:asciiTheme="minorHAnsi" w:hAnsiTheme="minorHAnsi"/>
          <w:b/>
          <w:color w:val="4472C4" w:themeColor="accent1"/>
        </w:rPr>
      </w:pPr>
    </w:p>
    <w:p w14:paraId="4BD37720" w14:textId="77777777" w:rsidR="001144A0" w:rsidRPr="001144A0" w:rsidRDefault="001144A0" w:rsidP="00C0646D">
      <w:pPr>
        <w:pStyle w:val="Heading2"/>
        <w:spacing w:line="240" w:lineRule="auto"/>
        <w:jc w:val="both"/>
        <w:rPr>
          <w:rFonts w:asciiTheme="minorHAnsi" w:hAnsiTheme="minorHAnsi"/>
          <w:b/>
          <w:color w:val="4472C4" w:themeColor="accent1"/>
        </w:rPr>
      </w:pPr>
      <w:r w:rsidRPr="001144A0">
        <w:rPr>
          <w:rFonts w:asciiTheme="minorHAnsi" w:hAnsiTheme="minorHAnsi"/>
          <w:b/>
          <w:color w:val="4472C4" w:themeColor="accent1"/>
        </w:rPr>
        <w:t>Proposed Solution</w:t>
      </w:r>
    </w:p>
    <w:p w14:paraId="0A8DDD2C" w14:textId="77777777" w:rsidR="00167AA1" w:rsidRDefault="00927698" w:rsidP="00C0646D">
      <w:pPr>
        <w:spacing w:line="240" w:lineRule="auto"/>
        <w:jc w:val="both"/>
      </w:pPr>
      <w:r>
        <w:t>An RPA solution that automates the entire invoice validation process, from downloading an invoice copy to capturing, validating and updating invoice details in the client’s web application and generating a unique identification number to ensure timely payment processing.</w:t>
      </w:r>
    </w:p>
    <w:p w14:paraId="7F6A8C97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35A0721F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6746CD13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22364C7D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1821112F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479CED46" w14:textId="77777777" w:rsidR="00C2513A" w:rsidRDefault="00C2513A" w:rsidP="00167AA1">
      <w:pPr>
        <w:spacing w:line="240" w:lineRule="auto"/>
        <w:rPr>
          <w:b/>
          <w:color w:val="4472C4" w:themeColor="accent1"/>
          <w:sz w:val="26"/>
          <w:szCs w:val="26"/>
        </w:rPr>
      </w:pPr>
    </w:p>
    <w:p w14:paraId="6A476EEB" w14:textId="77777777" w:rsidR="00167AA1" w:rsidRDefault="00167AA1" w:rsidP="00C0646D">
      <w:pPr>
        <w:spacing w:line="240" w:lineRule="auto"/>
        <w:jc w:val="both"/>
        <w:rPr>
          <w:b/>
          <w:color w:val="4472C4" w:themeColor="accent1"/>
          <w:sz w:val="26"/>
          <w:szCs w:val="26"/>
        </w:rPr>
      </w:pPr>
      <w:r w:rsidRPr="00167AA1">
        <w:rPr>
          <w:b/>
          <w:color w:val="4472C4" w:themeColor="accent1"/>
          <w:sz w:val="26"/>
          <w:szCs w:val="26"/>
        </w:rPr>
        <w:t>Benefits</w:t>
      </w:r>
    </w:p>
    <w:p w14:paraId="51771B11" w14:textId="77777777" w:rsidR="00AA65C9" w:rsidRPr="0009641F" w:rsidRDefault="00AA65C9" w:rsidP="00C0646D">
      <w:pPr>
        <w:pStyle w:val="Heading4"/>
        <w:numPr>
          <w:ilvl w:val="0"/>
          <w:numId w:val="6"/>
        </w:numPr>
        <w:shd w:val="clear" w:color="auto" w:fill="FFFFFF"/>
        <w:spacing w:before="360" w:after="180" w:line="240" w:lineRule="auto"/>
        <w:jc w:val="both"/>
        <w:rPr>
          <w:rFonts w:asciiTheme="minorHAnsi" w:hAnsiTheme="minorHAnsi" w:cs="Arial"/>
          <w:i w:val="0"/>
          <w:color w:val="1976D2"/>
        </w:rPr>
      </w:pPr>
      <w:r w:rsidRPr="0009641F">
        <w:rPr>
          <w:rStyle w:val="Strong"/>
          <w:rFonts w:asciiTheme="minorHAnsi" w:hAnsiTheme="minorHAnsi" w:cs="Arial"/>
          <w:i w:val="0"/>
          <w:color w:val="1976D2"/>
        </w:rPr>
        <w:t>Time Savings</w:t>
      </w:r>
    </w:p>
    <w:p w14:paraId="61563204" w14:textId="77777777" w:rsidR="00AA65C9" w:rsidRDefault="0009641F" w:rsidP="00C0646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636466"/>
          <w:sz w:val="22"/>
          <w:szCs w:val="22"/>
        </w:rPr>
      </w:pPr>
      <w:r>
        <w:rPr>
          <w:rFonts w:asciiTheme="minorHAnsi" w:hAnsiTheme="minorHAnsi" w:cs="Arial"/>
          <w:color w:val="636466"/>
          <w:sz w:val="22"/>
          <w:szCs w:val="22"/>
        </w:rPr>
        <w:t xml:space="preserve">               </w:t>
      </w:r>
      <w:r w:rsidR="00AA65C9" w:rsidRPr="00AA65C9">
        <w:rPr>
          <w:rFonts w:asciiTheme="minorHAnsi" w:hAnsiTheme="minorHAnsi" w:cs="Arial"/>
          <w:color w:val="636466"/>
          <w:sz w:val="22"/>
          <w:szCs w:val="22"/>
        </w:rPr>
        <w:t>Accounts payable automation makes invoice processing and approval exponentially faster</w:t>
      </w:r>
      <w:r>
        <w:rPr>
          <w:rFonts w:asciiTheme="minorHAnsi" w:hAnsiTheme="minorHAnsi" w:cs="Arial"/>
          <w:color w:val="636466"/>
          <w:sz w:val="22"/>
          <w:szCs w:val="22"/>
        </w:rPr>
        <w:t>.</w:t>
      </w:r>
    </w:p>
    <w:p w14:paraId="42C9B14C" w14:textId="77777777" w:rsidR="0009641F" w:rsidRPr="0009641F" w:rsidRDefault="0009641F" w:rsidP="00C0646D">
      <w:pPr>
        <w:pStyle w:val="Heading4"/>
        <w:numPr>
          <w:ilvl w:val="0"/>
          <w:numId w:val="6"/>
        </w:numPr>
        <w:shd w:val="clear" w:color="auto" w:fill="FFFFFF"/>
        <w:spacing w:before="360" w:after="180" w:line="240" w:lineRule="auto"/>
        <w:jc w:val="both"/>
        <w:rPr>
          <w:rFonts w:asciiTheme="minorHAnsi" w:hAnsiTheme="minorHAnsi" w:cs="Arial"/>
          <w:i w:val="0"/>
          <w:color w:val="1976D2"/>
        </w:rPr>
      </w:pPr>
      <w:r w:rsidRPr="0009641F">
        <w:rPr>
          <w:rStyle w:val="Strong"/>
          <w:rFonts w:asciiTheme="minorHAnsi" w:hAnsiTheme="minorHAnsi" w:cs="Arial"/>
          <w:i w:val="0"/>
          <w:color w:val="1976D2"/>
        </w:rPr>
        <w:t>Streamlined, Accurate Processing</w:t>
      </w:r>
    </w:p>
    <w:p w14:paraId="4EA39563" w14:textId="77777777" w:rsidR="0009641F" w:rsidRDefault="0009641F" w:rsidP="00C0646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636466"/>
          <w:sz w:val="22"/>
          <w:szCs w:val="22"/>
        </w:rPr>
      </w:pPr>
      <w:r>
        <w:rPr>
          <w:rFonts w:asciiTheme="minorHAnsi" w:hAnsiTheme="minorHAnsi" w:cs="Arial"/>
          <w:color w:val="636466"/>
          <w:sz w:val="22"/>
          <w:szCs w:val="22"/>
        </w:rPr>
        <w:t xml:space="preserve">               </w:t>
      </w:r>
      <w:r w:rsidRPr="0009641F">
        <w:rPr>
          <w:rFonts w:asciiTheme="minorHAnsi" w:hAnsiTheme="minorHAnsi" w:cs="Arial"/>
          <w:color w:val="636466"/>
          <w:sz w:val="22"/>
          <w:szCs w:val="22"/>
        </w:rPr>
        <w:t>Automated matching processes 80 percent of invoices straight through from capture to payment.</w:t>
      </w:r>
    </w:p>
    <w:p w14:paraId="74A6DC91" w14:textId="77777777" w:rsidR="0009641F" w:rsidRDefault="0009641F" w:rsidP="00C0646D">
      <w:pPr>
        <w:pStyle w:val="Heading4"/>
        <w:numPr>
          <w:ilvl w:val="0"/>
          <w:numId w:val="6"/>
        </w:numPr>
        <w:shd w:val="clear" w:color="auto" w:fill="FFFFFF"/>
        <w:spacing w:before="360" w:after="180" w:line="240" w:lineRule="auto"/>
        <w:jc w:val="both"/>
        <w:rPr>
          <w:rStyle w:val="Strong"/>
          <w:rFonts w:asciiTheme="minorHAnsi" w:hAnsiTheme="minorHAnsi" w:cs="Arial"/>
          <w:i w:val="0"/>
          <w:color w:val="1976D2"/>
        </w:rPr>
      </w:pPr>
      <w:r w:rsidRPr="0009641F">
        <w:rPr>
          <w:rStyle w:val="Strong"/>
          <w:rFonts w:asciiTheme="minorHAnsi" w:hAnsiTheme="minorHAnsi" w:cs="Arial"/>
          <w:i w:val="0"/>
          <w:color w:val="1976D2"/>
        </w:rPr>
        <w:t>Easy Access, Real-Time Monitoring, and Greater Control</w:t>
      </w:r>
      <w:r>
        <w:rPr>
          <w:rStyle w:val="Strong"/>
          <w:rFonts w:asciiTheme="minorHAnsi" w:hAnsiTheme="minorHAnsi" w:cs="Arial"/>
          <w:i w:val="0"/>
          <w:color w:val="1976D2"/>
        </w:rPr>
        <w:t>.</w:t>
      </w:r>
    </w:p>
    <w:p w14:paraId="40688C34" w14:textId="77777777" w:rsidR="0009641F" w:rsidRPr="0009641F" w:rsidRDefault="0009641F" w:rsidP="00C0646D">
      <w:pPr>
        <w:pStyle w:val="Heading4"/>
        <w:numPr>
          <w:ilvl w:val="0"/>
          <w:numId w:val="6"/>
        </w:numPr>
        <w:shd w:val="clear" w:color="auto" w:fill="FFFFFF"/>
        <w:spacing w:before="360" w:after="180" w:line="240" w:lineRule="auto"/>
        <w:jc w:val="both"/>
        <w:rPr>
          <w:rFonts w:asciiTheme="minorHAnsi" w:hAnsiTheme="minorHAnsi" w:cs="Arial"/>
          <w:i w:val="0"/>
          <w:color w:val="1976D2"/>
        </w:rPr>
      </w:pPr>
      <w:r w:rsidRPr="0009641F">
        <w:rPr>
          <w:rStyle w:val="Strong"/>
          <w:rFonts w:asciiTheme="minorHAnsi" w:hAnsiTheme="minorHAnsi" w:cs="Arial"/>
          <w:i w:val="0"/>
          <w:color w:val="1976D2"/>
        </w:rPr>
        <w:t>Better Insight and Transparency</w:t>
      </w:r>
    </w:p>
    <w:p w14:paraId="05D78587" w14:textId="77777777" w:rsidR="00AA65C9" w:rsidRDefault="0009641F" w:rsidP="00C0646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636466"/>
          <w:sz w:val="23"/>
          <w:szCs w:val="23"/>
        </w:rPr>
      </w:pPr>
      <w:r>
        <w:rPr>
          <w:rFonts w:asciiTheme="minorHAnsi" w:hAnsiTheme="minorHAnsi" w:cs="Arial"/>
          <w:color w:val="636466"/>
          <w:sz w:val="22"/>
          <w:szCs w:val="22"/>
        </w:rPr>
        <w:t xml:space="preserve">               </w:t>
      </w:r>
      <w:r w:rsidRPr="0009641F">
        <w:rPr>
          <w:rFonts w:asciiTheme="minorHAnsi" w:hAnsiTheme="minorHAnsi" w:cs="Arial"/>
          <w:color w:val="636466"/>
          <w:sz w:val="22"/>
          <w:szCs w:val="22"/>
        </w:rPr>
        <w:t>Greater visibility into the Accounts Payable process gives accountants and business leader’s keen insight</w:t>
      </w:r>
      <w:r>
        <w:rPr>
          <w:rFonts w:ascii="Arial" w:hAnsi="Arial" w:cs="Arial"/>
          <w:color w:val="636466"/>
          <w:sz w:val="23"/>
          <w:szCs w:val="23"/>
        </w:rPr>
        <w:t>.</w:t>
      </w:r>
    </w:p>
    <w:p w14:paraId="382A4F54" w14:textId="77777777" w:rsidR="0009641F" w:rsidRPr="0009641F" w:rsidRDefault="0009641F" w:rsidP="00C0646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636466"/>
          <w:sz w:val="23"/>
          <w:szCs w:val="23"/>
        </w:rPr>
      </w:pPr>
    </w:p>
    <w:p w14:paraId="4A3227B3" w14:textId="77777777" w:rsidR="00BF3E5E" w:rsidRPr="00C536B9" w:rsidRDefault="00BF3E5E" w:rsidP="00BF3E5E">
      <w:pPr>
        <w:pStyle w:val="Heading2"/>
        <w:shd w:val="clear" w:color="auto" w:fill="FFFFFF"/>
        <w:spacing w:before="300" w:after="150" w:line="240" w:lineRule="auto"/>
        <w:rPr>
          <w:rFonts w:asciiTheme="minorHAnsi" w:hAnsiTheme="minorHAnsi"/>
          <w:b/>
          <w:color w:val="4472C4" w:themeColor="accent1"/>
        </w:rPr>
      </w:pPr>
      <w:r w:rsidRPr="00C536B9">
        <w:rPr>
          <w:rFonts w:asciiTheme="minorHAnsi" w:hAnsiTheme="minorHAnsi"/>
          <w:b/>
          <w:color w:val="4472C4" w:themeColor="accent1"/>
        </w:rPr>
        <w:t>References</w:t>
      </w:r>
    </w:p>
    <w:p w14:paraId="0129E43C" w14:textId="77777777" w:rsidR="00BF3E5E" w:rsidRDefault="00387D48" w:rsidP="00BF3E5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hyperlink r:id="rId6" w:history="1">
        <w:r w:rsidR="00BF3E5E" w:rsidRPr="00733B38">
          <w:rPr>
            <w:rStyle w:val="Hyperlink"/>
            <w:b/>
          </w:rPr>
          <w:t>http://greysoft.co/blog/index.php/case-studies/robotic-process-automation-invoice-processing/</w:t>
        </w:r>
      </w:hyperlink>
    </w:p>
    <w:p w14:paraId="3F257BFB" w14:textId="77777777" w:rsidR="00BF3E5E" w:rsidRDefault="00387D48" w:rsidP="00167AA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hyperlink r:id="rId7" w:history="1">
        <w:r w:rsidR="00167AA1" w:rsidRPr="003B545C">
          <w:rPr>
            <w:rStyle w:val="Hyperlink"/>
            <w:b/>
          </w:rPr>
          <w:t>https://thelabconsulting.com/robotic-accounting-5-use-cases-case-study-examples-rpa-finance-accounting-departments/</w:t>
        </w:r>
      </w:hyperlink>
    </w:p>
    <w:p w14:paraId="1C123024" w14:textId="77777777" w:rsidR="00167AA1" w:rsidRDefault="00387D48" w:rsidP="00167AA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hyperlink r:id="rId8" w:history="1">
        <w:r w:rsidR="0071338B" w:rsidRPr="003B545C">
          <w:rPr>
            <w:rStyle w:val="Hyperlink"/>
            <w:b/>
          </w:rPr>
          <w:t>https://youtu.be/gp3hG9UFFk4</w:t>
        </w:r>
      </w:hyperlink>
    </w:p>
    <w:p w14:paraId="00CD9FDC" w14:textId="77777777" w:rsidR="0071338B" w:rsidRPr="0071338B" w:rsidRDefault="00387D48" w:rsidP="00167AA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hyperlink r:id="rId9" w:history="1">
        <w:r w:rsidR="0071338B" w:rsidRPr="0071338B">
          <w:rPr>
            <w:rStyle w:val="Hyperlink"/>
            <w:b/>
          </w:rPr>
          <w:t>https://www.cognizant.com/case-studies/accounts-payable-invoice-automation</w:t>
        </w:r>
      </w:hyperlink>
    </w:p>
    <w:p w14:paraId="6B7A7909" w14:textId="77777777" w:rsidR="00BF3E5E" w:rsidRPr="00696282" w:rsidRDefault="00BF3E5E" w:rsidP="00BF3E5E">
      <w:pPr>
        <w:spacing w:line="240" w:lineRule="auto"/>
        <w:rPr>
          <w:b/>
        </w:rPr>
      </w:pPr>
    </w:p>
    <w:sectPr w:rsidR="00BF3E5E" w:rsidRPr="0069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73443"/>
    <w:multiLevelType w:val="hybridMultilevel"/>
    <w:tmpl w:val="3B664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32E4"/>
    <w:multiLevelType w:val="hybridMultilevel"/>
    <w:tmpl w:val="16761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8146E"/>
    <w:multiLevelType w:val="hybridMultilevel"/>
    <w:tmpl w:val="ED264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73C3C"/>
    <w:multiLevelType w:val="hybridMultilevel"/>
    <w:tmpl w:val="066A8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C1032"/>
    <w:multiLevelType w:val="hybridMultilevel"/>
    <w:tmpl w:val="22E8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857DC"/>
    <w:multiLevelType w:val="hybridMultilevel"/>
    <w:tmpl w:val="943C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82"/>
    <w:rsid w:val="00060012"/>
    <w:rsid w:val="0009641F"/>
    <w:rsid w:val="001144A0"/>
    <w:rsid w:val="00161EBF"/>
    <w:rsid w:val="00167AA1"/>
    <w:rsid w:val="00387D48"/>
    <w:rsid w:val="004850FE"/>
    <w:rsid w:val="00696282"/>
    <w:rsid w:val="006F09F9"/>
    <w:rsid w:val="0071338B"/>
    <w:rsid w:val="008B29F4"/>
    <w:rsid w:val="009239D8"/>
    <w:rsid w:val="00927698"/>
    <w:rsid w:val="00AA65C9"/>
    <w:rsid w:val="00AE26DB"/>
    <w:rsid w:val="00AF15E8"/>
    <w:rsid w:val="00BF3E5E"/>
    <w:rsid w:val="00C0646D"/>
    <w:rsid w:val="00C2513A"/>
    <w:rsid w:val="00D1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A388"/>
  <w15:chartTrackingRefBased/>
  <w15:docId w15:val="{B9760C51-D6AF-4DB7-81DA-8D551D1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62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628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962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6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E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E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5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608">
          <w:marLeft w:val="3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954">
          <w:marLeft w:val="3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p3hG9UFFk4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helabconsulting.com/robotic-accounting-5-use-cases-case-study-examples-rpa-finance-accounting-departments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ysoft.co/blog/index.php/case-studies/robotic-process-automation-invoice-process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gnizant.com/case-studies/accounts-payable-invoice-automation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C41C71428DF418028073B893C85F3" ma:contentTypeVersion="5" ma:contentTypeDescription="Create a new document." ma:contentTypeScope="" ma:versionID="61f94f84ea08ebf67faead19d3a83e49">
  <xsd:schema xmlns:xsd="http://www.w3.org/2001/XMLSchema" xmlns:xs="http://www.w3.org/2001/XMLSchema" xmlns:p="http://schemas.microsoft.com/office/2006/metadata/properties" xmlns:ns2="a3ca19c4-33fe-41f3-b113-90a3dd45fae3" targetNamespace="http://schemas.microsoft.com/office/2006/metadata/properties" ma:root="true" ma:fieldsID="34fe38b92b1ea852c7a61ded30a62d35" ns2:_="">
    <xsd:import namespace="a3ca19c4-33fe-41f3-b113-90a3dd45f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a19c4-33fe-41f3-b113-90a3dd45f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DB7D6-3CAB-4B09-A324-6331253C5963}"/>
</file>

<file path=customXml/itemProps2.xml><?xml version="1.0" encoding="utf-8"?>
<ds:datastoreItem xmlns:ds="http://schemas.openxmlformats.org/officeDocument/2006/customXml" ds:itemID="{655F902E-D513-4AAE-8B3D-D8E1942DDCFC}"/>
</file>

<file path=customXml/itemProps3.xml><?xml version="1.0" encoding="utf-8"?>
<ds:datastoreItem xmlns:ds="http://schemas.openxmlformats.org/officeDocument/2006/customXml" ds:itemID="{C8B1834F-96C4-49E3-B6D0-81FA009B5E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Subash Prasad</cp:lastModifiedBy>
  <cp:revision>9</cp:revision>
  <dcterms:created xsi:type="dcterms:W3CDTF">2020-07-20T11:20:00Z</dcterms:created>
  <dcterms:modified xsi:type="dcterms:W3CDTF">2020-08-25T14:37:00Z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0x010100CCDC41C71428DF418028073B893C85F3</vt:lpwstr>
  </property>
</Properties>
</file>