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23" w:rsidRDefault="00100923" w:rsidP="00B154EA">
      <w:pPr>
        <w:shd w:val="clear" w:color="auto" w:fill="FFFFFF"/>
        <w:spacing w:after="225" w:line="240" w:lineRule="auto"/>
        <w:jc w:val="both"/>
        <w:outlineLvl w:val="0"/>
        <w:rPr>
          <w:rFonts w:ascii="Cambria" w:eastAsia="Times New Roman" w:hAnsi="Cambria" w:cs="Times New Roman"/>
          <w:b/>
          <w:bCs/>
          <w:color w:val="2F5496" w:themeColor="accent1" w:themeShade="BF"/>
          <w:kern w:val="36"/>
          <w:sz w:val="28"/>
          <w:szCs w:val="28"/>
          <w:lang w:eastAsia="en-IN"/>
        </w:rPr>
      </w:pPr>
      <w:r w:rsidRPr="00100923">
        <w:rPr>
          <w:rFonts w:ascii="Cambria" w:eastAsia="Times New Roman" w:hAnsi="Cambria" w:cs="Times New Roman"/>
          <w:b/>
          <w:bCs/>
          <w:color w:val="2F5496" w:themeColor="accent1" w:themeShade="BF"/>
          <w:kern w:val="36"/>
          <w:sz w:val="28"/>
          <w:szCs w:val="28"/>
          <w:lang w:eastAsia="en-IN"/>
        </w:rPr>
        <w:t>Bank Reconciliation Process</w:t>
      </w:r>
    </w:p>
    <w:p w:rsidR="007A7DD2" w:rsidRPr="007A7DD2" w:rsidRDefault="007A7DD2" w:rsidP="00B154EA">
      <w:pPr>
        <w:shd w:val="clear" w:color="auto" w:fill="FFFFFF"/>
        <w:spacing w:after="225" w:line="240" w:lineRule="auto"/>
        <w:jc w:val="both"/>
        <w:outlineLvl w:val="0"/>
        <w:rPr>
          <w:rFonts w:ascii="Calibri" w:eastAsia="Times New Roman" w:hAnsi="Calibri" w:cs="Times New Roman"/>
          <w:b/>
          <w:bCs/>
          <w:color w:val="4472C4" w:themeColor="accent1"/>
          <w:kern w:val="36"/>
          <w:sz w:val="26"/>
          <w:szCs w:val="26"/>
          <w:lang w:eastAsia="en-IN"/>
        </w:rPr>
      </w:pPr>
      <w:r w:rsidRPr="007A7DD2">
        <w:rPr>
          <w:rFonts w:ascii="Calibri" w:eastAsia="Times New Roman" w:hAnsi="Calibri" w:cs="Times New Roman"/>
          <w:b/>
          <w:bCs/>
          <w:color w:val="4472C4" w:themeColor="accent1"/>
          <w:kern w:val="36"/>
          <w:sz w:val="26"/>
          <w:szCs w:val="26"/>
          <w:lang w:eastAsia="en-IN"/>
        </w:rPr>
        <w:t xml:space="preserve">Client: </w:t>
      </w:r>
      <w:r w:rsidRPr="007A7DD2">
        <w:rPr>
          <w:rFonts w:ascii="Calibri" w:hAnsi="Calibri" w:cs="Arial"/>
          <w:b/>
          <w:shd w:val="clear" w:color="auto" w:fill="FFFFFF"/>
        </w:rPr>
        <w:t xml:space="preserve">Bangladesh’s </w:t>
      </w:r>
      <w:r w:rsidRPr="007A7DD2">
        <w:rPr>
          <w:rFonts w:ascii="Calibri" w:hAnsi="Calibri" w:cs="Arial"/>
          <w:b/>
          <w:shd w:val="clear" w:color="auto" w:fill="FFFFFF"/>
        </w:rPr>
        <w:t>construction steel manufacturing company</w:t>
      </w:r>
    </w:p>
    <w:p w:rsidR="00100923" w:rsidRDefault="00100923" w:rsidP="00B154EA">
      <w:pPr>
        <w:pStyle w:val="Heading2"/>
        <w:spacing w:line="240" w:lineRule="auto"/>
        <w:jc w:val="both"/>
        <w:rPr>
          <w:rFonts w:asciiTheme="minorHAnsi" w:hAnsiTheme="minorHAnsi"/>
          <w:b/>
          <w:color w:val="4472C4" w:themeColor="accent1"/>
        </w:rPr>
      </w:pPr>
      <w:r w:rsidRPr="00100923">
        <w:rPr>
          <w:rFonts w:asciiTheme="minorHAnsi" w:hAnsiTheme="minorHAnsi"/>
          <w:b/>
          <w:color w:val="4472C4" w:themeColor="accent1"/>
        </w:rPr>
        <w:t>Background</w:t>
      </w:r>
      <w:bookmarkStart w:id="0" w:name="_GoBack"/>
      <w:bookmarkEnd w:id="0"/>
    </w:p>
    <w:p w:rsidR="00100923" w:rsidRDefault="0098489E" w:rsidP="00B154EA">
      <w:pPr>
        <w:spacing w:line="240" w:lineRule="auto"/>
        <w:jc w:val="both"/>
        <w:rPr>
          <w:rFonts w:ascii="Calibri" w:hAnsi="Calibri" w:cs="Arial"/>
          <w:shd w:val="clear" w:color="auto" w:fill="FFFFFF"/>
        </w:rPr>
      </w:pPr>
      <w:r w:rsidRPr="0098489E">
        <w:rPr>
          <w:rFonts w:ascii="Calibri" w:hAnsi="Calibri" w:cs="Arial"/>
          <w:shd w:val="clear" w:color="auto" w:fill="FFFFFF"/>
        </w:rPr>
        <w:t>Bangladesh’s top construction steel manufacturing company and one of the prominent corporate houses in Bangladesh products have been used in some of the country’s largest construction projects. The client dealt with over 30 banks in day-to-day commercial transactions. Bank reconciliation being the ubiquitous type of process was one of the biggest business challenges being faced by the company, as the process involved a series of steps that were carried out manually. This made the process time-consuming, complex and a tedious task to handle.</w:t>
      </w:r>
    </w:p>
    <w:p w:rsidR="0098489E" w:rsidRPr="0098489E" w:rsidRDefault="0098489E" w:rsidP="00B154EA">
      <w:pPr>
        <w:spacing w:line="240" w:lineRule="auto"/>
        <w:jc w:val="both"/>
        <w:rPr>
          <w:rFonts w:ascii="Calibri" w:hAnsi="Calibri" w:cs="Arial"/>
          <w:shd w:val="clear" w:color="auto" w:fill="FFFFFF"/>
        </w:rPr>
      </w:pPr>
    </w:p>
    <w:p w:rsidR="00100923" w:rsidRPr="00100923" w:rsidRDefault="00100923" w:rsidP="00B154EA">
      <w:pPr>
        <w:pStyle w:val="Heading2"/>
        <w:spacing w:line="240" w:lineRule="auto"/>
        <w:jc w:val="both"/>
        <w:rPr>
          <w:rFonts w:asciiTheme="minorHAnsi" w:hAnsiTheme="minorHAnsi"/>
          <w:b/>
          <w:color w:val="4472C4" w:themeColor="accent1"/>
        </w:rPr>
      </w:pPr>
      <w:r w:rsidRPr="00100923">
        <w:rPr>
          <w:rFonts w:asciiTheme="minorHAnsi" w:hAnsiTheme="minorHAnsi"/>
          <w:b/>
          <w:color w:val="4472C4" w:themeColor="accent1"/>
        </w:rPr>
        <w:t>Challenges</w:t>
      </w:r>
    </w:p>
    <w:p w:rsidR="00100923" w:rsidRDefault="00DD6F09" w:rsidP="00B154EA">
      <w:pPr>
        <w:spacing w:line="240" w:lineRule="auto"/>
        <w:jc w:val="both"/>
        <w:rPr>
          <w:rFonts w:ascii="Calibri" w:hAnsi="Calibri" w:cs="Arial"/>
          <w:shd w:val="clear" w:color="auto" w:fill="FFFFFF"/>
        </w:rPr>
      </w:pPr>
      <w:r w:rsidRPr="00DD6F09">
        <w:rPr>
          <w:rFonts w:ascii="Calibri" w:hAnsi="Calibri" w:cs="Arial"/>
          <w:shd w:val="clear" w:color="auto" w:fill="FFFFFF"/>
        </w:rPr>
        <w:t>The process of bank reconciliation was very labour intensive, as dealing with a bigger number of account types, payments, time zones and manually matching the transaction would make the process complicated and expose the business to error and financial risks. Hence, the client desired to get rid of the daily manual processing reconciliation and automate the whole process using RPA, thus improving the operational efficiency.</w:t>
      </w:r>
    </w:p>
    <w:p w:rsidR="00DD6F09" w:rsidRPr="00DD6F09" w:rsidRDefault="00DD6F09" w:rsidP="00B154EA">
      <w:pPr>
        <w:spacing w:line="240" w:lineRule="auto"/>
        <w:jc w:val="both"/>
        <w:rPr>
          <w:rFonts w:ascii="Calibri" w:hAnsi="Calibri"/>
        </w:rPr>
      </w:pPr>
    </w:p>
    <w:p w:rsidR="00DD6F09" w:rsidRPr="00DD6F09" w:rsidRDefault="00DD6F09" w:rsidP="00DD6F09">
      <w:pPr>
        <w:pStyle w:val="Heading2"/>
        <w:spacing w:line="240" w:lineRule="auto"/>
        <w:jc w:val="both"/>
        <w:rPr>
          <w:rFonts w:asciiTheme="minorHAnsi" w:hAnsiTheme="minorHAnsi"/>
          <w:b/>
          <w:color w:val="4472C4" w:themeColor="accent1"/>
        </w:rPr>
      </w:pPr>
      <w:r w:rsidRPr="00DD6F09">
        <w:rPr>
          <w:rFonts w:asciiTheme="minorHAnsi" w:hAnsiTheme="minorHAnsi"/>
          <w:b/>
          <w:color w:val="4472C4" w:themeColor="accent1"/>
        </w:rPr>
        <w:t>Proposed Solution</w:t>
      </w:r>
    </w:p>
    <w:p w:rsidR="00DD6F09" w:rsidRDefault="00DD6F09" w:rsidP="00DD6F09">
      <w:pPr>
        <w:spacing w:line="240" w:lineRule="auto"/>
        <w:jc w:val="both"/>
        <w:rPr>
          <w:color w:val="302E2E"/>
          <w:shd w:val="clear" w:color="auto" w:fill="FFFFFF"/>
        </w:rPr>
      </w:pPr>
      <w:r w:rsidRPr="00B154EA">
        <w:rPr>
          <w:color w:val="302E2E"/>
          <w:shd w:val="clear" w:color="auto" w:fill="FFFFFF"/>
        </w:rPr>
        <w:t>The solution automated the numerous manual steps in compliance with the financial standards. In addition, it also helped with exception management and added a security layer in the process. The different discrepancies and huge volume data were managed and fixed efficiently by the bot. The automation saved time and resources, helping the client to focus more on value-driven tasks.</w:t>
      </w:r>
    </w:p>
    <w:p w:rsidR="00DD6F09" w:rsidRDefault="00DD6F09" w:rsidP="00DD6F09">
      <w:pPr>
        <w:spacing w:line="240" w:lineRule="auto"/>
        <w:jc w:val="both"/>
        <w:rPr>
          <w:color w:val="302E2E"/>
          <w:shd w:val="clear" w:color="auto" w:fill="FFFFFF"/>
        </w:rPr>
      </w:pPr>
    </w:p>
    <w:p w:rsidR="00DD6F09" w:rsidRPr="00DD6F09" w:rsidRDefault="00DD6F09" w:rsidP="00DD6F09">
      <w:pPr>
        <w:rPr>
          <w:b/>
          <w:color w:val="4472C4" w:themeColor="accent1"/>
          <w:sz w:val="26"/>
          <w:szCs w:val="26"/>
        </w:rPr>
      </w:pPr>
      <w:r w:rsidRPr="00DD6F09">
        <w:rPr>
          <w:b/>
          <w:color w:val="4472C4" w:themeColor="accent1"/>
          <w:sz w:val="26"/>
          <w:szCs w:val="26"/>
        </w:rPr>
        <w:t>Benefits</w:t>
      </w:r>
    </w:p>
    <w:p w:rsidR="00DD6F09" w:rsidRPr="00DD6F09" w:rsidRDefault="00DD6F09" w:rsidP="00DD6F09">
      <w:pPr>
        <w:numPr>
          <w:ilvl w:val="0"/>
          <w:numId w:val="3"/>
        </w:numPr>
        <w:shd w:val="clear" w:color="auto" w:fill="FFFFFF"/>
        <w:spacing w:before="100" w:beforeAutospacing="1" w:after="100" w:afterAutospacing="1" w:line="240" w:lineRule="auto"/>
        <w:ind w:left="150"/>
        <w:rPr>
          <w:rFonts w:cs="Arial"/>
          <w:color w:val="000000"/>
        </w:rPr>
      </w:pPr>
      <w:r w:rsidRPr="00DD6F09">
        <w:rPr>
          <w:rStyle w:val="Strong"/>
          <w:rFonts w:cs="Arial"/>
          <w:color w:val="000000"/>
        </w:rPr>
        <w:t>Turnaround time reduction</w:t>
      </w:r>
      <w:r w:rsidRPr="00DD6F09">
        <w:rPr>
          <w:rFonts w:cs="Arial"/>
          <w:color w:val="000000"/>
        </w:rPr>
        <w:t> – For a 1000+ line-item reconciliation at one bank, the bot needed approximately 10 minutes, which is 70% faster than the manual execution time.</w:t>
      </w:r>
    </w:p>
    <w:p w:rsidR="00DD6F09" w:rsidRPr="00DD6F09" w:rsidRDefault="00DD6F09" w:rsidP="00DD6F09">
      <w:pPr>
        <w:numPr>
          <w:ilvl w:val="0"/>
          <w:numId w:val="3"/>
        </w:numPr>
        <w:shd w:val="clear" w:color="auto" w:fill="FFFFFF"/>
        <w:spacing w:before="100" w:beforeAutospacing="1" w:after="100" w:afterAutospacing="1" w:line="240" w:lineRule="auto"/>
        <w:ind w:left="150"/>
        <w:rPr>
          <w:rFonts w:cs="Arial"/>
          <w:color w:val="000000"/>
        </w:rPr>
      </w:pPr>
      <w:r w:rsidRPr="00DD6F09">
        <w:rPr>
          <w:rStyle w:val="Strong"/>
          <w:rFonts w:cs="Arial"/>
          <w:color w:val="000000"/>
        </w:rPr>
        <w:t>Optimization of resource and reduced cost pressure</w:t>
      </w:r>
      <w:r w:rsidRPr="00DD6F09">
        <w:rPr>
          <w:rFonts w:cs="Arial"/>
          <w:color w:val="000000"/>
        </w:rPr>
        <w:t> – This automation resulted in effort savings of at least 5 full-time employees and reduced dependency on manual intervention.</w:t>
      </w:r>
    </w:p>
    <w:p w:rsidR="00DD6F09" w:rsidRPr="00DD6F09" w:rsidRDefault="00DD6F09" w:rsidP="00DD6F09">
      <w:pPr>
        <w:numPr>
          <w:ilvl w:val="0"/>
          <w:numId w:val="3"/>
        </w:numPr>
        <w:shd w:val="clear" w:color="auto" w:fill="FFFFFF"/>
        <w:spacing w:before="100" w:beforeAutospacing="1" w:after="100" w:afterAutospacing="1" w:line="240" w:lineRule="auto"/>
        <w:ind w:left="150"/>
        <w:rPr>
          <w:rFonts w:cs="Arial"/>
          <w:color w:val="000000"/>
        </w:rPr>
      </w:pPr>
      <w:r w:rsidRPr="00DD6F09">
        <w:rPr>
          <w:rStyle w:val="Strong"/>
          <w:rFonts w:cs="Arial"/>
          <w:color w:val="000000"/>
        </w:rPr>
        <w:t>Greater accuracy</w:t>
      </w:r>
      <w:r w:rsidRPr="00DD6F09">
        <w:rPr>
          <w:rFonts w:cs="Arial"/>
          <w:color w:val="000000"/>
        </w:rPr>
        <w:t> – Improved process accuracy as the software bot performed all actions based on designated business rules without error.</w:t>
      </w:r>
    </w:p>
    <w:p w:rsidR="00DD6F09" w:rsidRPr="00DD6F09" w:rsidRDefault="00DD6F09" w:rsidP="00DD6F09">
      <w:pPr>
        <w:numPr>
          <w:ilvl w:val="0"/>
          <w:numId w:val="3"/>
        </w:numPr>
        <w:shd w:val="clear" w:color="auto" w:fill="FFFFFF"/>
        <w:spacing w:before="100" w:beforeAutospacing="1" w:after="100" w:afterAutospacing="1" w:line="240" w:lineRule="auto"/>
        <w:ind w:left="150"/>
        <w:rPr>
          <w:rFonts w:cs="Arial"/>
          <w:color w:val="000000"/>
        </w:rPr>
      </w:pPr>
      <w:r w:rsidRPr="00DD6F09">
        <w:rPr>
          <w:rStyle w:val="Strong"/>
          <w:rFonts w:cs="Arial"/>
          <w:color w:val="000000"/>
        </w:rPr>
        <w:t>Audit and Compliance</w:t>
      </w:r>
      <w:r w:rsidRPr="00DD6F09">
        <w:rPr>
          <w:rFonts w:cs="Arial"/>
          <w:color w:val="000000"/>
        </w:rPr>
        <w:t> – The solution also comes with a built-in process audit functionality that keeps track of all transactions being performed by the bot. This helped them adhere to internal as well as external audits.</w:t>
      </w:r>
    </w:p>
    <w:p w:rsidR="00DD6F09" w:rsidRPr="00B154EA" w:rsidRDefault="00DD6F09" w:rsidP="00DD6F09">
      <w:pPr>
        <w:spacing w:line="240" w:lineRule="auto"/>
        <w:jc w:val="both"/>
      </w:pPr>
    </w:p>
    <w:p w:rsidR="00DD6F09" w:rsidRDefault="00DD6F09" w:rsidP="00B154EA">
      <w:pPr>
        <w:spacing w:line="240" w:lineRule="auto"/>
        <w:jc w:val="both"/>
      </w:pPr>
    </w:p>
    <w:p w:rsidR="00B154EA" w:rsidRDefault="00B154EA" w:rsidP="00B154EA">
      <w:pPr>
        <w:spacing w:line="240" w:lineRule="auto"/>
        <w:jc w:val="both"/>
      </w:pPr>
      <w:r>
        <w:rPr>
          <w:noProof/>
          <w:lang w:eastAsia="en-IN"/>
        </w:rPr>
        <w:lastRenderedPageBreak/>
        <w:drawing>
          <wp:inline distT="0" distB="0" distL="0" distR="0">
            <wp:extent cx="5730875" cy="6714483"/>
            <wp:effectExtent l="0" t="0" r="3175" b="0"/>
            <wp:docPr id="1" name="Picture 1" descr="Bank Reconciliation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Reconciliation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268" cy="6746577"/>
                    </a:xfrm>
                    <a:prstGeom prst="rect">
                      <a:avLst/>
                    </a:prstGeom>
                    <a:noFill/>
                    <a:ln>
                      <a:noFill/>
                    </a:ln>
                  </pic:spPr>
                </pic:pic>
              </a:graphicData>
            </a:graphic>
          </wp:inline>
        </w:drawing>
      </w:r>
    </w:p>
    <w:p w:rsidR="00204054" w:rsidRPr="00C536B9" w:rsidRDefault="00204054" w:rsidP="00204054">
      <w:pPr>
        <w:pStyle w:val="Heading2"/>
        <w:shd w:val="clear" w:color="auto" w:fill="FFFFFF"/>
        <w:spacing w:before="300" w:after="150" w:line="240" w:lineRule="auto"/>
        <w:rPr>
          <w:rFonts w:asciiTheme="minorHAnsi" w:hAnsiTheme="minorHAnsi"/>
          <w:b/>
          <w:color w:val="4472C4" w:themeColor="accent1"/>
        </w:rPr>
      </w:pPr>
      <w:r w:rsidRPr="00C536B9">
        <w:rPr>
          <w:rFonts w:asciiTheme="minorHAnsi" w:hAnsiTheme="minorHAnsi"/>
          <w:b/>
          <w:color w:val="4472C4" w:themeColor="accent1"/>
        </w:rPr>
        <w:t>References</w:t>
      </w:r>
    </w:p>
    <w:p w:rsidR="00100923" w:rsidRPr="00204054" w:rsidRDefault="00354ED0" w:rsidP="00204054">
      <w:pPr>
        <w:pStyle w:val="ListParagraph"/>
        <w:numPr>
          <w:ilvl w:val="0"/>
          <w:numId w:val="2"/>
        </w:numPr>
        <w:shd w:val="clear" w:color="auto" w:fill="FFFFFF"/>
        <w:spacing w:after="225" w:line="240" w:lineRule="auto"/>
        <w:jc w:val="both"/>
        <w:outlineLvl w:val="0"/>
        <w:rPr>
          <w:rFonts w:ascii="Cambria" w:eastAsia="Times New Roman" w:hAnsi="Cambria" w:cs="Times New Roman"/>
          <w:b/>
          <w:bCs/>
          <w:color w:val="2F5496" w:themeColor="accent1" w:themeShade="BF"/>
          <w:kern w:val="36"/>
          <w:sz w:val="28"/>
          <w:szCs w:val="28"/>
          <w:lang w:eastAsia="en-IN"/>
        </w:rPr>
      </w:pPr>
      <w:hyperlink r:id="rId8" w:history="1">
        <w:r w:rsidR="00204054">
          <w:rPr>
            <w:rStyle w:val="Hyperlink"/>
          </w:rPr>
          <w:t>https://automationedge.com/the-role-of-rpa-in-streamlining-the-bank-reconciliation-process/</w:t>
        </w:r>
      </w:hyperlink>
    </w:p>
    <w:p w:rsidR="00204054" w:rsidRPr="002A0A82" w:rsidRDefault="00354ED0" w:rsidP="00204054">
      <w:pPr>
        <w:pStyle w:val="ListParagraph"/>
        <w:numPr>
          <w:ilvl w:val="0"/>
          <w:numId w:val="2"/>
        </w:numPr>
        <w:shd w:val="clear" w:color="auto" w:fill="FFFFFF"/>
        <w:spacing w:after="225" w:line="240" w:lineRule="auto"/>
        <w:jc w:val="both"/>
        <w:outlineLvl w:val="0"/>
        <w:rPr>
          <w:rStyle w:val="Hyperlink"/>
          <w:rFonts w:ascii="Cambria" w:eastAsia="Times New Roman" w:hAnsi="Cambria" w:cs="Times New Roman"/>
          <w:b/>
          <w:bCs/>
          <w:color w:val="2F5496" w:themeColor="accent1" w:themeShade="BF"/>
          <w:kern w:val="36"/>
          <w:sz w:val="28"/>
          <w:szCs w:val="28"/>
          <w:u w:val="none"/>
          <w:lang w:eastAsia="en-IN"/>
        </w:rPr>
      </w:pPr>
      <w:hyperlink r:id="rId9" w:history="1">
        <w:r w:rsidR="00204054">
          <w:rPr>
            <w:rStyle w:val="Hyperlink"/>
          </w:rPr>
          <w:t>https://research.aimultiple.com/robotic-process-automation-use-cases/</w:t>
        </w:r>
      </w:hyperlink>
    </w:p>
    <w:p w:rsidR="002A0A82" w:rsidRPr="002A0A82" w:rsidRDefault="002A0A82" w:rsidP="002A0A82">
      <w:pPr>
        <w:pStyle w:val="ListParagraph"/>
        <w:numPr>
          <w:ilvl w:val="0"/>
          <w:numId w:val="2"/>
        </w:numPr>
        <w:shd w:val="clear" w:color="auto" w:fill="FFFFFF"/>
        <w:spacing w:after="225" w:line="240" w:lineRule="auto"/>
        <w:jc w:val="both"/>
        <w:outlineLvl w:val="0"/>
        <w:rPr>
          <w:rFonts w:ascii="Calibri" w:eastAsia="Times New Roman" w:hAnsi="Calibri" w:cs="Times New Roman"/>
          <w:bCs/>
          <w:color w:val="2F5496" w:themeColor="accent1" w:themeShade="BF"/>
          <w:kern w:val="36"/>
          <w:lang w:eastAsia="en-IN"/>
        </w:rPr>
      </w:pPr>
      <w:r w:rsidRPr="002A0A82">
        <w:rPr>
          <w:rFonts w:ascii="Calibri" w:eastAsia="Times New Roman" w:hAnsi="Calibri" w:cs="Times New Roman"/>
          <w:bCs/>
          <w:color w:val="2F5496" w:themeColor="accent1" w:themeShade="BF"/>
          <w:kern w:val="36"/>
          <w:lang w:eastAsia="en-IN"/>
        </w:rPr>
        <w:t>https://vimeo.com/314467161</w:t>
      </w:r>
    </w:p>
    <w:p w:rsidR="009239D8" w:rsidRPr="00100923" w:rsidRDefault="009239D8" w:rsidP="00B154EA">
      <w:pPr>
        <w:spacing w:line="240" w:lineRule="auto"/>
        <w:jc w:val="both"/>
      </w:pPr>
    </w:p>
    <w:sectPr w:rsidR="009239D8" w:rsidRPr="00100923" w:rsidSect="002A0A8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ED0" w:rsidRDefault="00354ED0" w:rsidP="002A0A82">
      <w:pPr>
        <w:spacing w:after="0" w:line="240" w:lineRule="auto"/>
      </w:pPr>
      <w:r>
        <w:separator/>
      </w:r>
    </w:p>
  </w:endnote>
  <w:endnote w:type="continuationSeparator" w:id="0">
    <w:p w:rsidR="00354ED0" w:rsidRDefault="00354ED0" w:rsidP="002A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ED0" w:rsidRDefault="00354ED0" w:rsidP="002A0A82">
      <w:pPr>
        <w:spacing w:after="0" w:line="240" w:lineRule="auto"/>
      </w:pPr>
      <w:r>
        <w:separator/>
      </w:r>
    </w:p>
  </w:footnote>
  <w:footnote w:type="continuationSeparator" w:id="0">
    <w:p w:rsidR="00354ED0" w:rsidRDefault="00354ED0" w:rsidP="002A0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32F7B"/>
    <w:multiLevelType w:val="multilevel"/>
    <w:tmpl w:val="89F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62FD2"/>
    <w:multiLevelType w:val="multilevel"/>
    <w:tmpl w:val="9C0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53BD7"/>
    <w:multiLevelType w:val="hybridMultilevel"/>
    <w:tmpl w:val="B0F2C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23"/>
    <w:rsid w:val="000B5A6F"/>
    <w:rsid w:val="00100923"/>
    <w:rsid w:val="00204054"/>
    <w:rsid w:val="002A0A82"/>
    <w:rsid w:val="00354ED0"/>
    <w:rsid w:val="007A7DD2"/>
    <w:rsid w:val="009239D8"/>
    <w:rsid w:val="0098489E"/>
    <w:rsid w:val="00B154EA"/>
    <w:rsid w:val="00D33E17"/>
    <w:rsid w:val="00DD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07C7"/>
  <w15:chartTrackingRefBased/>
  <w15:docId w15:val="{73B2BB6D-4688-4325-9D04-7D4F906B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0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0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D6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00923"/>
    <w:rPr>
      <w:rFonts w:asciiTheme="majorHAnsi" w:eastAsiaTheme="majorEastAsia" w:hAnsiTheme="majorHAnsi" w:cstheme="majorBidi"/>
      <w:color w:val="2F5496" w:themeColor="accent1" w:themeShade="BF"/>
      <w:sz w:val="26"/>
      <w:szCs w:val="26"/>
    </w:rPr>
  </w:style>
  <w:style w:type="paragraph" w:customStyle="1" w:styleId="para-post">
    <w:name w:val="para-post"/>
    <w:basedOn w:val="Normal"/>
    <w:rsid w:val="001009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4054"/>
    <w:pPr>
      <w:ind w:left="720"/>
      <w:contextualSpacing/>
    </w:pPr>
  </w:style>
  <w:style w:type="character" w:styleId="Hyperlink">
    <w:name w:val="Hyperlink"/>
    <w:basedOn w:val="DefaultParagraphFont"/>
    <w:uiPriority w:val="99"/>
    <w:semiHidden/>
    <w:unhideWhenUsed/>
    <w:rsid w:val="00204054"/>
    <w:rPr>
      <w:color w:val="0000FF"/>
      <w:u w:val="single"/>
    </w:rPr>
  </w:style>
  <w:style w:type="paragraph" w:styleId="Header">
    <w:name w:val="header"/>
    <w:basedOn w:val="Normal"/>
    <w:link w:val="HeaderChar"/>
    <w:uiPriority w:val="99"/>
    <w:unhideWhenUsed/>
    <w:rsid w:val="002A0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82"/>
  </w:style>
  <w:style w:type="paragraph" w:styleId="Footer">
    <w:name w:val="footer"/>
    <w:basedOn w:val="Normal"/>
    <w:link w:val="FooterChar"/>
    <w:uiPriority w:val="99"/>
    <w:unhideWhenUsed/>
    <w:rsid w:val="002A0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A82"/>
  </w:style>
  <w:style w:type="character" w:customStyle="1" w:styleId="Heading4Char">
    <w:name w:val="Heading 4 Char"/>
    <w:basedOn w:val="DefaultParagraphFont"/>
    <w:link w:val="Heading4"/>
    <w:uiPriority w:val="9"/>
    <w:semiHidden/>
    <w:rsid w:val="00DD6F0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D6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721253">
      <w:bodyDiv w:val="1"/>
      <w:marLeft w:val="0"/>
      <w:marRight w:val="0"/>
      <w:marTop w:val="0"/>
      <w:marBottom w:val="0"/>
      <w:divBdr>
        <w:top w:val="none" w:sz="0" w:space="0" w:color="auto"/>
        <w:left w:val="none" w:sz="0" w:space="0" w:color="auto"/>
        <w:bottom w:val="none" w:sz="0" w:space="0" w:color="auto"/>
        <w:right w:val="none" w:sz="0" w:space="0" w:color="auto"/>
      </w:divBdr>
    </w:div>
    <w:div w:id="1953242411">
      <w:bodyDiv w:val="1"/>
      <w:marLeft w:val="0"/>
      <w:marRight w:val="0"/>
      <w:marTop w:val="0"/>
      <w:marBottom w:val="0"/>
      <w:divBdr>
        <w:top w:val="none" w:sz="0" w:space="0" w:color="auto"/>
        <w:left w:val="none" w:sz="0" w:space="0" w:color="auto"/>
        <w:bottom w:val="none" w:sz="0" w:space="0" w:color="auto"/>
        <w:right w:val="none" w:sz="0" w:space="0" w:color="auto"/>
      </w:divBdr>
    </w:div>
    <w:div w:id="21067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ionedge.com/the-role-of-rpa-in-streamlining-the-bank-reconciliation-proces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aimultiple.com/robotic-process-automation-use-cas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C41C71428DF418028073B893C85F3" ma:contentTypeVersion="5" ma:contentTypeDescription="Create a new document." ma:contentTypeScope="" ma:versionID="61f94f84ea08ebf67faead19d3a83e49">
  <xsd:schema xmlns:xsd="http://www.w3.org/2001/XMLSchema" xmlns:xs="http://www.w3.org/2001/XMLSchema" xmlns:p="http://schemas.microsoft.com/office/2006/metadata/properties" xmlns:ns2="a3ca19c4-33fe-41f3-b113-90a3dd45fae3" targetNamespace="http://schemas.microsoft.com/office/2006/metadata/properties" ma:root="true" ma:fieldsID="34fe38b92b1ea852c7a61ded30a62d35" ns2:_="">
    <xsd:import namespace="a3ca19c4-33fe-41f3-b113-90a3dd45fa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19c4-33fe-41f3-b113-90a3dd45f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F837C-740D-4170-97D9-E2EC4B2DB6AA}"/>
</file>

<file path=customXml/itemProps2.xml><?xml version="1.0" encoding="utf-8"?>
<ds:datastoreItem xmlns:ds="http://schemas.openxmlformats.org/officeDocument/2006/customXml" ds:itemID="{22B3BCE1-D44D-4A97-B056-5F70EB3A43C2}"/>
</file>

<file path=customXml/itemProps3.xml><?xml version="1.0" encoding="utf-8"?>
<ds:datastoreItem xmlns:ds="http://schemas.openxmlformats.org/officeDocument/2006/customXml" ds:itemID="{211F8DF8-5DF3-4099-ACFD-3AD8734D5CFC}"/>
</file>

<file path=docProps/app.xml><?xml version="1.0" encoding="utf-8"?>
<Properties xmlns="http://schemas.openxmlformats.org/officeDocument/2006/extended-properties" xmlns:vt="http://schemas.openxmlformats.org/officeDocument/2006/docPropsVTypes">
  <Template>Normal</Template>
  <TotalTime>92</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2020-07-20T10:44:00Z</dcterms:created>
  <dcterms:modified xsi:type="dcterms:W3CDTF">2020-07-21T12:20:00Z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0x010100CCDC41C71428DF418028073B893C85F3</vt:lpwstr>
  </property>
</Properties>
</file>