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2757" w:rsidRDefault="00444AE8">
      <w:pPr>
        <w:spacing w:before="1400" w:after="40"/>
        <w:jc w:val="center"/>
      </w:pPr>
      <w:bookmarkStart w:id="0" w:name="_GoBack"/>
      <w:bookmarkEnd w:id="0"/>
      <w:r>
        <w:rPr>
          <w:rFonts w:ascii="Montserrat" w:eastAsia="Montserrat" w:hAnsi="Montserrat"/>
          <w:b/>
          <w:color w:val="0A1931"/>
          <w:sz w:val="36"/>
        </w:rPr>
        <w:t>BTI TAWARRUQ</w:t>
      </w:r>
      <w:r>
        <w:rPr>
          <w:rFonts w:ascii="Montserrat" w:eastAsia="Montserrat" w:hAnsi="Montserrat"/>
          <w:b/>
          <w:color w:val="0A1931"/>
          <w:sz w:val="36"/>
        </w:rPr>
        <w:br/>
        <w:t>ORCHESTRATION SYSTEM</w:t>
      </w:r>
    </w:p>
    <w:p w:rsidR="00C02757" w:rsidRDefault="00444AE8">
      <w:pPr>
        <w:jc w:val="center"/>
      </w:pPr>
      <w:r>
        <w:rPr>
          <w:rFonts w:ascii="Montserrat" w:eastAsia="Montserrat" w:hAnsi="Montserrat"/>
          <w:b/>
          <w:color w:val="0A1931"/>
          <w:sz w:val="30"/>
        </w:rPr>
        <w:t>User Categories and Access Roles</w:t>
      </w:r>
    </w:p>
    <w:p w:rsidR="00C02757" w:rsidRDefault="00444AE8">
      <w:pPr>
        <w:spacing w:before="440"/>
        <w:jc w:val="center"/>
      </w:pPr>
      <w:r>
        <w:t>Project Document</w:t>
      </w:r>
    </w:p>
    <w:p w:rsidR="00C02757" w:rsidRDefault="00444AE8">
      <w:pPr>
        <w:spacing w:before="1300"/>
        <w:jc w:val="center"/>
      </w:pPr>
      <w:r>
        <w:t xml:space="preserve">Purpose: Define the principal human and system actors that interact with BTI’s multi-tenant </w:t>
      </w:r>
      <w:r>
        <w:rPr>
          <w:rFonts w:ascii="Amiri" w:eastAsia="Amiri" w:hAnsi="Amiri"/>
          <w:i/>
        </w:rPr>
        <w:t>Tawarruq</w:t>
      </w:r>
      <w:r>
        <w:t xml:space="preserve"> orchestration platform, together with their responsibilities and access boundaries.</w:t>
      </w:r>
    </w:p>
    <w:p w:rsidR="00C02757" w:rsidRDefault="00C02757"/>
    <w:p w:rsidR="00C02757" w:rsidRDefault="00444AE8">
      <w:pPr>
        <w:pStyle w:val="Heading1"/>
      </w:pPr>
      <w:r>
        <w:rPr>
          <w:rFonts w:ascii="Montserrat" w:eastAsia="Montserrat" w:hAnsi="Montserrat"/>
        </w:rPr>
        <w:t>Document Control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C02757" w:rsidTr="00C02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rFonts w:ascii="Montserrat" w:eastAsia="Montserrat" w:hAnsi="Montserrat"/>
                <w:color w:val="FFFFFF"/>
                <w:sz w:val="18"/>
              </w:rPr>
              <w:t>Document title</w:t>
            </w:r>
          </w:p>
        </w:tc>
        <w:tc>
          <w:tcPr>
            <w:tcW w:w="4968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BTI Tawarruq Orchestration System — User Categories and Access Roles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Document type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Project / Product Requirements Supporting Document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Version</w:t>
            </w:r>
          </w:p>
        </w:tc>
        <w:tc>
          <w:tcPr>
            <w:tcW w:w="49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1.0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Initial draft for stakeholder review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Product owner</w:t>
            </w:r>
          </w:p>
        </w:tc>
        <w:tc>
          <w:tcPr>
            <w:tcW w:w="4968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BTI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Scope</w:t>
            </w:r>
          </w:p>
        </w:tc>
        <w:tc>
          <w:tcPr>
            <w:tcW w:w="4968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Human users, tenant roles, and external system identities</w:t>
            </w:r>
          </w:p>
        </w:tc>
      </w:tr>
    </w:tbl>
    <w:p w:rsidR="00C02757" w:rsidRDefault="00444AE8">
      <w:pPr>
        <w:pStyle w:val="Heading1"/>
      </w:pPr>
      <w:r>
        <w:rPr>
          <w:rFonts w:ascii="Montserrat" w:eastAsia="Montserrat" w:hAnsi="Montserrat"/>
        </w:rPr>
        <w:t>1. Purpose</w:t>
      </w:r>
    </w:p>
    <w:p w:rsidR="00C02757" w:rsidRDefault="00444AE8">
      <w:r>
        <w:t xml:space="preserve">This document defines the user categories and system actors for BTI’s </w:t>
      </w:r>
      <w:r>
        <w:rPr>
          <w:rFonts w:ascii="Amiri" w:eastAsia="Amiri" w:hAnsi="Amiri"/>
          <w:i/>
        </w:rPr>
        <w:t>Tawarruq</w:t>
      </w:r>
      <w:r>
        <w:t xml:space="preserve"> Orchestration System, wh</w:t>
      </w:r>
      <w:r>
        <w:t xml:space="preserve">ich BTI intends to offer to banks, SACCOs, microfinance institutions, and other eligible financial institutions. It provides a foundation for role-based access control, tenant isolation, segregation of duties, and operational accountability. End customers </w:t>
      </w:r>
      <w:r>
        <w:t>are outside the system’s user model and do not receive direct BTI system access.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t>2. Platform Context</w:t>
      </w:r>
    </w:p>
    <w:p w:rsidR="00C02757" w:rsidRDefault="00444AE8">
      <w:r>
        <w:t xml:space="preserve">The platform is intended to orchestrate digital </w:t>
      </w:r>
      <w:r>
        <w:rPr>
          <w:rFonts w:ascii="Amiri" w:eastAsia="Amiri" w:hAnsi="Amiri"/>
          <w:i/>
        </w:rPr>
        <w:t>Tawarruq</w:t>
      </w:r>
      <w:r>
        <w:t xml:space="preserve"> transactions and related commodity-trading steps, including integration with Sedania, subject to the applicable integration arrangements. Financial institutions may initiate transactions through the BTI portal or approved system-to-system integrations. En</w:t>
      </w:r>
      <w:r>
        <w:t xml:space="preserve">d customers do not have </w:t>
      </w:r>
      <w:r>
        <w:lastRenderedPageBreak/>
        <w:t>direct access to the BTI system; any customer-facing acceptance, signing, or communication is handled through the financial institution’s own approved channels.</w:t>
      </w:r>
    </w:p>
    <w:p w:rsidR="00C02757" w:rsidRDefault="00444AE8">
      <w:r>
        <w:t>The platform must operate as a multi-tenant service. Each financial ins</w:t>
      </w:r>
      <w:r>
        <w:t>titution’s data, transactions, configuration, and billing records must be segregated from those of other institutions. Access should be granted according to role, tenant scope, assigned permissions, and transaction authority.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t>3. User and System Actor Categ</w:t>
      </w:r>
      <w:r>
        <w:rPr>
          <w:rFonts w:ascii="Montserrat" w:eastAsia="Montserrat" w:hAnsi="Montserrat"/>
        </w:rPr>
        <w:t>ories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3.1 BTI Platform Super Administrator</w:t>
      </w:r>
    </w:p>
    <w:p w:rsidR="00C02757" w:rsidRDefault="00444AE8">
      <w:r>
        <w:rPr>
          <w:b/>
        </w:rPr>
        <w:t xml:space="preserve">Category / scope: </w:t>
      </w:r>
      <w:r>
        <w:t>BTI internal; platform-wide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Manage global platform configuration and shared settings.</w:t>
      </w:r>
    </w:p>
    <w:p w:rsidR="00C02757" w:rsidRDefault="00444AE8">
      <w:pPr>
        <w:pStyle w:val="ListBullet"/>
      </w:pPr>
      <w:r>
        <w:t>Create, configure, suspend, or deactivate financial institution tenants according to</w:t>
      </w:r>
      <w:r>
        <w:t xml:space="preserve"> approved procedures.</w:t>
      </w:r>
    </w:p>
    <w:p w:rsidR="00C02757" w:rsidRDefault="00444AE8">
      <w:pPr>
        <w:pStyle w:val="ListBullet"/>
      </w:pPr>
      <w:r>
        <w:t>Manage BTI staff identities, roles, and permissions.</w:t>
      </w:r>
    </w:p>
    <w:p w:rsidR="00C02757" w:rsidRDefault="00444AE8">
      <w:pPr>
        <w:pStyle w:val="ListBullet"/>
      </w:pPr>
      <w:r>
        <w:t>Configure platform-level controls and monitor service health and integrations.</w:t>
      </w:r>
    </w:p>
    <w:p w:rsidR="00C02757" w:rsidRDefault="00444AE8">
      <w:pPr>
        <w:pStyle w:val="ListBullet"/>
      </w:pPr>
      <w:r>
        <w:t>Maintain oversight of platform-wide limits and operational policies.</w:t>
      </w:r>
    </w:p>
    <w:p w:rsidR="00C02757" w:rsidRDefault="00444AE8">
      <w:r>
        <w:rPr>
          <w:b/>
        </w:rPr>
        <w:t>Access and control considerations</w:t>
      </w:r>
      <w:r>
        <w:rPr>
          <w:b/>
        </w:rPr>
        <w:t xml:space="preserve">: </w:t>
      </w:r>
      <w:r>
        <w:t>Powerful administrative actions should be restricted, authenticated strongly, and logged. Administrative access should not automatically authorize transaction execution or financial approval.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3.2 Financial Institution Administrator</w:t>
      </w:r>
    </w:p>
    <w:p w:rsidR="00C02757" w:rsidRDefault="00444AE8">
      <w:r>
        <w:rPr>
          <w:b/>
        </w:rPr>
        <w:t xml:space="preserve">Category / scope: </w:t>
      </w:r>
      <w:r>
        <w:t>Fina</w:t>
      </w:r>
      <w:r>
        <w:t>ncial institution; restricted to one tenant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Manage the institution’s users, roles, and access rights.</w:t>
      </w:r>
    </w:p>
    <w:p w:rsidR="00C02757" w:rsidRDefault="00444AE8">
      <w:pPr>
        <w:pStyle w:val="ListBullet"/>
      </w:pPr>
      <w:r>
        <w:t>Maintain institution-specific configuration, products, and limits within delegated authority.</w:t>
      </w:r>
    </w:p>
    <w:p w:rsidR="00C02757" w:rsidRDefault="00444AE8">
      <w:pPr>
        <w:pStyle w:val="ListBullet"/>
      </w:pPr>
      <w:r>
        <w:t>Manage or request API onboarding an</w:t>
      </w:r>
      <w:r>
        <w:t>d integration configuration.</w:t>
      </w:r>
    </w:p>
    <w:p w:rsidR="00C02757" w:rsidRDefault="00444AE8">
      <w:pPr>
        <w:pStyle w:val="ListBullet"/>
      </w:pPr>
      <w:r>
        <w:t>View institution-level transactions, reports, usage, and fees.</w:t>
      </w:r>
    </w:p>
    <w:p w:rsidR="00C02757" w:rsidRDefault="00444AE8">
      <w:pPr>
        <w:pStyle w:val="ListBullet"/>
      </w:pPr>
      <w:r>
        <w:t>Configure institution approval workflows where supported.</w:t>
      </w:r>
    </w:p>
    <w:p w:rsidR="00C02757" w:rsidRDefault="00444AE8">
      <w:r>
        <w:rPr>
          <w:b/>
        </w:rPr>
        <w:t xml:space="preserve">Access and control considerations: </w:t>
      </w:r>
      <w:r>
        <w:t>Must not access another institution’s data or configuration. Changes to</w:t>
      </w:r>
      <w:r>
        <w:t xml:space="preserve"> high-risk settings should be subject to approval where required.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3.3 Financial Institution Operations Officer</w:t>
      </w:r>
    </w:p>
    <w:p w:rsidR="00C02757" w:rsidRDefault="00444AE8">
      <w:r>
        <w:rPr>
          <w:b/>
        </w:rPr>
        <w:t xml:space="preserve">Category / scope: </w:t>
      </w:r>
      <w:r>
        <w:t>Financial institution; transaction operations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 xml:space="preserve">Submit </w:t>
      </w:r>
      <w:r>
        <w:rPr>
          <w:rFonts w:ascii="Amiri" w:eastAsia="Amiri" w:hAnsi="Amiri"/>
          <w:i/>
        </w:rPr>
        <w:t>Tawarruq</w:t>
      </w:r>
      <w:r>
        <w:t xml:space="preserve"> financing requests through the portal or</w:t>
      </w:r>
      <w:r>
        <w:t xml:space="preserve"> an authorized integrated channel.</w:t>
      </w:r>
    </w:p>
    <w:p w:rsidR="00C02757" w:rsidRDefault="00444AE8">
      <w:pPr>
        <w:pStyle w:val="ListBullet"/>
      </w:pPr>
      <w:r>
        <w:t>Initiate permitted commodity purchase and sale instructions.</w:t>
      </w:r>
    </w:p>
    <w:p w:rsidR="00C02757" w:rsidRDefault="00444AE8">
      <w:pPr>
        <w:pStyle w:val="ListBullet"/>
      </w:pPr>
      <w:r>
        <w:t>Monitor transaction states, confirmations, and settlement progress.</w:t>
      </w:r>
    </w:p>
    <w:p w:rsidR="00C02757" w:rsidRDefault="00444AE8">
      <w:pPr>
        <w:pStyle w:val="ListBullet"/>
      </w:pPr>
      <w:r>
        <w:t>Retrieve certificates and transaction documents.</w:t>
      </w:r>
    </w:p>
    <w:p w:rsidR="00C02757" w:rsidRDefault="00444AE8">
      <w:pPr>
        <w:pStyle w:val="ListBullet"/>
      </w:pPr>
      <w:r>
        <w:t>Investigate pending, failed, or exceptional</w:t>
      </w:r>
      <w:r>
        <w:t xml:space="preserve"> transactions and escalate issues.</w:t>
      </w:r>
    </w:p>
    <w:p w:rsidR="00C02757" w:rsidRDefault="00444AE8">
      <w:r>
        <w:rPr>
          <w:b/>
        </w:rPr>
        <w:t xml:space="preserve">Access and control considerations: </w:t>
      </w:r>
      <w:r>
        <w:t>Permissions must reflect the institution’s operating model. Initiation and approval should be separated where maker-checker controls are required.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lastRenderedPageBreak/>
        <w:t>3.4 Financial Institution Approver</w:t>
      </w:r>
    </w:p>
    <w:p w:rsidR="00C02757" w:rsidRDefault="00444AE8">
      <w:r>
        <w:rPr>
          <w:b/>
        </w:rPr>
        <w:t>Cate</w:t>
      </w:r>
      <w:r>
        <w:rPr>
          <w:b/>
        </w:rPr>
        <w:t xml:space="preserve">gory / scope: </w:t>
      </w:r>
      <w:r>
        <w:t>Financial institution; authorization role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Approve or reject financing or transaction instructions within assigned authority.</w:t>
      </w:r>
    </w:p>
    <w:p w:rsidR="00C02757" w:rsidRDefault="00444AE8">
      <w:pPr>
        <w:pStyle w:val="ListBullet"/>
      </w:pPr>
      <w:r>
        <w:t>Apply delegated limits by amount, product, branch, or other configured dimensions.</w:t>
      </w:r>
    </w:p>
    <w:p w:rsidR="00C02757" w:rsidRDefault="00444AE8">
      <w:pPr>
        <w:pStyle w:val="ListBullet"/>
      </w:pPr>
      <w:r>
        <w:t>Review ex</w:t>
      </w:r>
      <w:r>
        <w:t>ceptions and permitted manual corrections.</w:t>
      </w:r>
    </w:p>
    <w:p w:rsidR="00C02757" w:rsidRDefault="00444AE8">
      <w:pPr>
        <w:pStyle w:val="ListBullet"/>
      </w:pPr>
      <w:r>
        <w:t>Confirm that required approvals are complete before the workflow proceeds.</w:t>
      </w:r>
    </w:p>
    <w:p w:rsidR="00C02757" w:rsidRDefault="00444AE8">
      <w:r>
        <w:rPr>
          <w:b/>
        </w:rPr>
        <w:t xml:space="preserve">Access and control considerations: </w:t>
      </w:r>
      <w:r>
        <w:t xml:space="preserve">This is a recommended control role. Whether it is mandatory, and which steps require approval, must be </w:t>
      </w:r>
      <w:r>
        <w:t>configured with each institution.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3.5 BTI Tawarruq Operations Officer</w:t>
      </w:r>
    </w:p>
    <w:p w:rsidR="00C02757" w:rsidRDefault="00444AE8">
      <w:r>
        <w:rPr>
          <w:b/>
        </w:rPr>
        <w:t xml:space="preserve">Category / scope: </w:t>
      </w:r>
      <w:r>
        <w:t>BTI internal; operational oversight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Monitor transaction workflows across participating institutions.</w:t>
      </w:r>
    </w:p>
    <w:p w:rsidR="00C02757" w:rsidRDefault="00444AE8">
      <w:pPr>
        <w:pStyle w:val="ListBullet"/>
      </w:pPr>
      <w:r>
        <w:t>Investigate failed Sedania requests, delay</w:t>
      </w:r>
      <w:r>
        <w:t>ed responses, and callback exceptions.</w:t>
      </w:r>
    </w:p>
    <w:p w:rsidR="00C02757" w:rsidRDefault="00444AE8">
      <w:pPr>
        <w:pStyle w:val="ListBullet"/>
      </w:pPr>
      <w:r>
        <w:t>Perform controlled retries or exception handling where permitted.</w:t>
      </w:r>
    </w:p>
    <w:p w:rsidR="00C02757" w:rsidRDefault="00444AE8">
      <w:pPr>
        <w:pStyle w:val="ListBullet"/>
      </w:pPr>
      <w:r>
        <w:t>Track transaction completion and settlement status.</w:t>
      </w:r>
    </w:p>
    <w:p w:rsidR="00C02757" w:rsidRDefault="00444AE8">
      <w:pPr>
        <w:pStyle w:val="ListBullet"/>
      </w:pPr>
      <w:r>
        <w:t>Escalate incidents to technical, compliance, or financial teams.</w:t>
      </w:r>
    </w:p>
    <w:p w:rsidR="00C02757" w:rsidRDefault="00444AE8">
      <w:r>
        <w:rPr>
          <w:b/>
        </w:rPr>
        <w:t>Access and control considerations:</w:t>
      </w:r>
      <w:r>
        <w:rPr>
          <w:b/>
        </w:rPr>
        <w:t xml:space="preserve"> </w:t>
      </w:r>
      <w:r>
        <w:t>Cross-tenant visibility should be limited to operational need. Any access to customer or transaction details should be justified, controlled, and audited.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3.6 Shariah Compliance Officer / Auditor</w:t>
      </w:r>
    </w:p>
    <w:p w:rsidR="00C02757" w:rsidRDefault="00444AE8">
      <w:r>
        <w:rPr>
          <w:b/>
        </w:rPr>
        <w:t xml:space="preserve">Category / scope: </w:t>
      </w:r>
      <w:r>
        <w:t>BTI or financial institution; audit scope</w:t>
      </w:r>
      <w:r>
        <w:t xml:space="preserve"> varies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Review transaction sequence, commodity purchase and sale evidence, and required authorizations.</w:t>
      </w:r>
    </w:p>
    <w:p w:rsidR="00C02757" w:rsidRDefault="00444AE8">
      <w:pPr>
        <w:pStyle w:val="ListBullet"/>
      </w:pPr>
      <w:r>
        <w:t>Inspect timestamps, commodity certificate references, and supporting documentation.</w:t>
      </w:r>
    </w:p>
    <w:p w:rsidR="00C02757" w:rsidRDefault="00444AE8">
      <w:pPr>
        <w:pStyle w:val="ListBullet"/>
      </w:pPr>
      <w:r>
        <w:t xml:space="preserve">Review exceptions and potential sequencing </w:t>
      </w:r>
      <w:r>
        <w:t>violations.</w:t>
      </w:r>
    </w:p>
    <w:p w:rsidR="00C02757" w:rsidRDefault="00444AE8">
      <w:pPr>
        <w:pStyle w:val="ListBullet"/>
      </w:pPr>
      <w:r>
        <w:t xml:space="preserve">Generate audit evidence and reports for the relevant </w:t>
      </w:r>
      <w:r>
        <w:rPr>
          <w:rFonts w:ascii="Amiri" w:eastAsia="Amiri" w:hAnsi="Amiri"/>
          <w:i/>
        </w:rPr>
        <w:t>Shariah</w:t>
      </w:r>
      <w:r>
        <w:t xml:space="preserve"> supervisory function.</w:t>
      </w:r>
    </w:p>
    <w:p w:rsidR="00C02757" w:rsidRDefault="00444AE8">
      <w:r>
        <w:rPr>
          <w:b/>
        </w:rPr>
        <w:t xml:space="preserve">Access and control considerations: </w:t>
      </w:r>
      <w:r>
        <w:t xml:space="preserve">Financial institution auditors should ordinarily be scoped to their tenant. BTI compliance staff may have broader access only </w:t>
      </w:r>
      <w:r>
        <w:t>where justified by their responsibilities and approved controls. Audit access should normally be read-only.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3.7 BTI Finance and Billing Officer</w:t>
      </w:r>
    </w:p>
    <w:p w:rsidR="00C02757" w:rsidRDefault="00444AE8">
      <w:r>
        <w:rPr>
          <w:b/>
        </w:rPr>
        <w:t xml:space="preserve">Category / scope: </w:t>
      </w:r>
      <w:r>
        <w:t>BTI internal; commercial operations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 xml:space="preserve">Maintain approved platform fee </w:t>
      </w:r>
      <w:r>
        <w:t>and billing configurations.</w:t>
      </w:r>
    </w:p>
    <w:p w:rsidR="00C02757" w:rsidRDefault="00444AE8">
      <w:pPr>
        <w:pStyle w:val="ListBullet"/>
      </w:pPr>
      <w:r>
        <w:t>Review transaction-based or volume-based usage charges.</w:t>
      </w:r>
    </w:p>
    <w:p w:rsidR="00C02757" w:rsidRDefault="00444AE8">
      <w:pPr>
        <w:pStyle w:val="ListBullet"/>
      </w:pPr>
      <w:r>
        <w:t>Generate invoices and monitor receivables.</w:t>
      </w:r>
    </w:p>
    <w:p w:rsidR="00C02757" w:rsidRDefault="00444AE8">
      <w:pPr>
        <w:pStyle w:val="ListBullet"/>
      </w:pPr>
      <w:r>
        <w:t>Reconcile billed usage with transaction and platform records.</w:t>
      </w:r>
    </w:p>
    <w:p w:rsidR="00C02757" w:rsidRDefault="00444AE8">
      <w:pPr>
        <w:pStyle w:val="ListBullet"/>
      </w:pPr>
      <w:r>
        <w:t>Produce billing and revenue reports.</w:t>
      </w:r>
    </w:p>
    <w:p w:rsidR="00C02757" w:rsidRDefault="00444AE8">
      <w:r>
        <w:rPr>
          <w:b/>
        </w:rPr>
        <w:lastRenderedPageBreak/>
        <w:t>Access and control considerati</w:t>
      </w:r>
      <w:r>
        <w:rPr>
          <w:b/>
        </w:rPr>
        <w:t xml:space="preserve">ons: </w:t>
      </w:r>
      <w:r>
        <w:t>Billing permissions should not grant trade-execution, transaction-approval, or audit-log modification privileges.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3.8 Reconciliation and Settlement Officer</w:t>
      </w:r>
    </w:p>
    <w:p w:rsidR="00C02757" w:rsidRDefault="00444AE8">
      <w:r>
        <w:rPr>
          <w:b/>
        </w:rPr>
        <w:t xml:space="preserve">Category / scope: </w:t>
      </w:r>
      <w:r>
        <w:t>BTI and/or financial institution; settlement scope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M</w:t>
      </w:r>
      <w:r>
        <w:t>atch commodity trade confirmations to settlement and account records.</w:t>
      </w:r>
    </w:p>
    <w:p w:rsidR="00C02757" w:rsidRDefault="00444AE8">
      <w:pPr>
        <w:pStyle w:val="ListBullet"/>
      </w:pPr>
      <w:r>
        <w:t>Investigate settlement discrepancies and failed or incomplete movements.</w:t>
      </w:r>
    </w:p>
    <w:p w:rsidR="00C02757" w:rsidRDefault="00444AE8">
      <w:pPr>
        <w:pStyle w:val="ListBullet"/>
      </w:pPr>
      <w:r>
        <w:t>Track outstanding reconciliation items and exceptions.</w:t>
      </w:r>
    </w:p>
    <w:p w:rsidR="00C02757" w:rsidRDefault="00444AE8">
      <w:pPr>
        <w:pStyle w:val="ListBullet"/>
      </w:pPr>
      <w:r>
        <w:t xml:space="preserve">Prepare reconciliation reports and support month-end or </w:t>
      </w:r>
      <w:r>
        <w:t>periodic close processes.</w:t>
      </w:r>
    </w:p>
    <w:p w:rsidR="00C02757" w:rsidRDefault="00444AE8">
      <w:r>
        <w:rPr>
          <w:b/>
        </w:rPr>
        <w:t xml:space="preserve">Access and control considerations: </w:t>
      </w:r>
      <w:r>
        <w:t>This function may initially be combined with operations, but its permissions and responsibilities should remain identifiable. Any adjustment must be traceable and subject to approval.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3.9 Financi</w:t>
      </w:r>
      <w:r>
        <w:rPr>
          <w:rFonts w:ascii="Montserrat" w:eastAsia="Montserrat" w:hAnsi="Montserrat"/>
        </w:rPr>
        <w:t>al Institution Integration Administrator / API Client</w:t>
      </w:r>
    </w:p>
    <w:p w:rsidR="00C02757" w:rsidRDefault="00444AE8">
      <w:r>
        <w:rPr>
          <w:b/>
        </w:rPr>
        <w:t xml:space="preserve">Category / scope: </w:t>
      </w:r>
      <w:r>
        <w:t>Institution-scoped machine identity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Authenticate the institution’s systems to BTI APIs.</w:t>
      </w:r>
    </w:p>
    <w:p w:rsidR="00C02757" w:rsidRDefault="00444AE8">
      <w:pPr>
        <w:pStyle w:val="ListBullet"/>
      </w:pPr>
      <w:r>
        <w:t>Submit authorized quote, buy, sell, and status requests.</w:t>
      </w:r>
    </w:p>
    <w:p w:rsidR="00C02757" w:rsidRDefault="00444AE8">
      <w:pPr>
        <w:pStyle w:val="ListBullet"/>
      </w:pPr>
      <w:r>
        <w:t>Receive status</w:t>
      </w:r>
      <w:r>
        <w:t xml:space="preserve"> notifications and retrieve permitted results or certificates.</w:t>
      </w:r>
    </w:p>
    <w:p w:rsidR="00C02757" w:rsidRDefault="00444AE8">
      <w:pPr>
        <w:pStyle w:val="ListBullet"/>
      </w:pPr>
      <w:r>
        <w:t>Support integration monitoring and credential rotation.</w:t>
      </w:r>
    </w:p>
    <w:p w:rsidR="00C02757" w:rsidRDefault="00444AE8">
      <w:r>
        <w:rPr>
          <w:b/>
        </w:rPr>
        <w:t xml:space="preserve">Access and control considerations: </w:t>
      </w:r>
      <w:r>
        <w:t>An API client is a non-human identity, not a person. Use institution-specific credentials, narrowly sc</w:t>
      </w:r>
      <w:r>
        <w:t>oped permissions, rate limits, secure secret handling, and auditable requests. Production credentials must not be shared between tenants.</w:t>
      </w:r>
    </w:p>
    <w:p w:rsidR="00C02757" w:rsidRDefault="00444AE8">
      <w:pPr>
        <w:pStyle w:val="Heading2"/>
      </w:pPr>
      <w:r>
        <w:rPr>
          <w:rFonts w:ascii="Montserrat" w:eastAsia="Montserrat" w:hAnsi="Montserrat"/>
        </w:rPr>
        <w:t>3.10 External Trading Platform / Settlement System</w:t>
      </w:r>
    </w:p>
    <w:p w:rsidR="00C02757" w:rsidRDefault="00444AE8">
      <w:r>
        <w:rPr>
          <w:b/>
        </w:rPr>
        <w:t xml:space="preserve">Category / scope: </w:t>
      </w:r>
      <w:r>
        <w:t>External system identity</w:t>
      </w:r>
    </w:p>
    <w:p w:rsidR="00C02757" w:rsidRDefault="00444AE8">
      <w:r>
        <w:rPr>
          <w:b/>
        </w:rPr>
        <w:t>Primary responsibilities</w:t>
      </w:r>
    </w:p>
    <w:p w:rsidR="00C02757" w:rsidRDefault="00444AE8">
      <w:pPr>
        <w:pStyle w:val="ListBullet"/>
      </w:pPr>
      <w:r>
        <w:t>Exchange trade instructions and receive confirmations through supported interfaces.</w:t>
      </w:r>
    </w:p>
    <w:p w:rsidR="00C02757" w:rsidRDefault="00444AE8">
      <w:pPr>
        <w:pStyle w:val="ListBullet"/>
      </w:pPr>
      <w:r>
        <w:t>Return transaction references and commodity ownership evidence where available.</w:t>
      </w:r>
    </w:p>
    <w:p w:rsidR="00C02757" w:rsidRDefault="00444AE8">
      <w:pPr>
        <w:pStyle w:val="ListBullet"/>
      </w:pPr>
      <w:r>
        <w:t>Provide status notifications or responses.</w:t>
      </w:r>
    </w:p>
    <w:p w:rsidR="00C02757" w:rsidRDefault="00444AE8">
      <w:pPr>
        <w:pStyle w:val="ListBullet"/>
      </w:pPr>
      <w:r>
        <w:t xml:space="preserve">Supply settlement information required for </w:t>
      </w:r>
      <w:r>
        <w:t>reconciliation.</w:t>
      </w:r>
    </w:p>
    <w:p w:rsidR="00C02757" w:rsidRDefault="00444AE8">
      <w:r>
        <w:t>Access and control considerations: This represents the Sedania external integration, not a user who signs in to the BTI portal. The exact capabilities depend on the external platform’s approved API and operating arrangements.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t>4. Recommended</w:t>
      </w:r>
      <w:r>
        <w:rPr>
          <w:rFonts w:ascii="Montserrat" w:eastAsia="Montserrat" w:hAnsi="Montserrat"/>
        </w:rPr>
        <w:t xml:space="preserve"> MVP Role Set</w:t>
      </w:r>
    </w:p>
    <w:p w:rsidR="00C02757" w:rsidRDefault="00444AE8">
      <w:r>
        <w:t>The platform does not require a separate application or dashboard for every category. Implement a common identity, tenant, role, and permission framework, then present features according to each actor’s assigned scope.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02757" w:rsidTr="00C02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rFonts w:ascii="Montserrat" w:eastAsia="Montserrat" w:hAnsi="Montserrat"/>
                <w:color w:val="FFFFFF"/>
                <w:sz w:val="18"/>
              </w:rPr>
              <w:t>Role / actor</w:t>
            </w:r>
          </w:p>
        </w:tc>
        <w:tc>
          <w:tcPr>
            <w:tcW w:w="3312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Core respo</w:t>
            </w:r>
            <w:r>
              <w:rPr>
                <w:rFonts w:ascii="Montserrat" w:eastAsia="Montserrat" w:hAnsi="Montserrat"/>
                <w:color w:val="FFFFFF"/>
                <w:sz w:val="18"/>
              </w:rPr>
              <w:t>nsibility</w:t>
            </w:r>
          </w:p>
        </w:tc>
        <w:tc>
          <w:tcPr>
            <w:tcW w:w="3312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MVP priority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BTI Platform Super Administrator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Platform configuration and tenant lifecycle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Essential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lastRenderedPageBreak/>
              <w:t>BTI Tawarruq Operations Officer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Workflow monitoring and operational exceptions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Essential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BTI Finance / Billing Officer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Usage fees, invoicing, </w:t>
            </w:r>
            <w:r>
              <w:rPr>
                <w:sz w:val="19"/>
              </w:rPr>
              <w:t>and billing reconciliation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Essential if billing is in MVP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Financial Institution Administrator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Tenant users and institution configuration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Essential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Financial Institution Operations Officer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Initiation and monitoring of transactions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Essential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 xml:space="preserve">Financial </w:t>
            </w:r>
            <w:r>
              <w:rPr>
                <w:sz w:val="19"/>
              </w:rPr>
              <w:t>Institution Approver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Maker-checker authorization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Essential where required by institution policy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Institution API Client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Machine-to-machine integration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Essential for API onboarding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Shariah / Audit User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Read-only evidence and audit reporting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Essential </w:t>
            </w:r>
            <w:r>
              <w:rPr>
                <w:sz w:val="19"/>
              </w:rPr>
              <w:t>control capability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Reconciliation Officer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Settlement matching and exception management</w:t>
            </w:r>
          </w:p>
        </w:tc>
        <w:tc>
          <w:tcPr>
            <w:tcW w:w="3312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Essential capability; may be combined with operations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External Trading Platform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Trade execution, confirmation, and settlement integration</w:t>
            </w:r>
          </w:p>
        </w:tc>
        <w:tc>
          <w:tcPr>
            <w:tcW w:w="3312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Essential integration</w:t>
            </w:r>
          </w:p>
        </w:tc>
      </w:tr>
    </w:tbl>
    <w:p w:rsidR="00C02757" w:rsidRDefault="00444AE8">
      <w:pPr>
        <w:pStyle w:val="Heading1"/>
      </w:pPr>
      <w:r>
        <w:rPr>
          <w:rFonts w:ascii="Montserrat" w:eastAsia="Montserrat" w:hAnsi="Montserrat"/>
        </w:rPr>
        <w:t xml:space="preserve">5. </w:t>
      </w:r>
      <w:r>
        <w:rPr>
          <w:rFonts w:ascii="Montserrat" w:eastAsia="Montserrat" w:hAnsi="Montserrat"/>
        </w:rPr>
        <w:t>Access Control Design Principles</w:t>
      </w:r>
    </w:p>
    <w:p w:rsidR="00C02757" w:rsidRDefault="00444AE8">
      <w:pPr>
        <w:pStyle w:val="ListBullet"/>
      </w:pPr>
      <w:r>
        <w:rPr>
          <w:b/>
        </w:rPr>
        <w:t xml:space="preserve">Tenant isolation: </w:t>
      </w:r>
      <w:r>
        <w:t>Every financial institution’s users, transactions, documents, configuration, and billing records must be isolated from other tenants.</w:t>
      </w:r>
    </w:p>
    <w:p w:rsidR="00C02757" w:rsidRDefault="00444AE8">
      <w:pPr>
        <w:pStyle w:val="ListBullet"/>
      </w:pPr>
      <w:r>
        <w:rPr>
          <w:b/>
        </w:rPr>
        <w:t xml:space="preserve">Role-based access control: </w:t>
      </w:r>
      <w:r>
        <w:t>Grant permissions through defined roles rath</w:t>
      </w:r>
      <w:r>
        <w:t>er than one-off, ad hoc user privileges.</w:t>
      </w:r>
    </w:p>
    <w:p w:rsidR="00C02757" w:rsidRDefault="00444AE8">
      <w:pPr>
        <w:pStyle w:val="ListBullet"/>
      </w:pPr>
      <w:r>
        <w:rPr>
          <w:b/>
        </w:rPr>
        <w:t xml:space="preserve">Least privilege: </w:t>
      </w:r>
      <w:r>
        <w:t>Give each human or system identity only the access required for its responsibilities.</w:t>
      </w:r>
    </w:p>
    <w:p w:rsidR="00C02757" w:rsidRDefault="00444AE8">
      <w:pPr>
        <w:pStyle w:val="ListBullet"/>
      </w:pPr>
      <w:r>
        <w:rPr>
          <w:b/>
        </w:rPr>
        <w:t xml:space="preserve">Maker-checker separation: </w:t>
      </w:r>
      <w:r>
        <w:t>Where required, the person initiating a sensitive transaction must not be the sole app</w:t>
      </w:r>
      <w:r>
        <w:t>rover of that transaction.</w:t>
      </w:r>
    </w:p>
    <w:p w:rsidR="00C02757" w:rsidRDefault="00444AE8">
      <w:pPr>
        <w:pStyle w:val="ListBullet"/>
      </w:pPr>
      <w:r>
        <w:rPr>
          <w:b/>
        </w:rPr>
        <w:t xml:space="preserve">Transaction limits: </w:t>
      </w:r>
      <w:r>
        <w:t>Enforce delegated authority by amount and any other institution-defined dimensions, such as product or branch.</w:t>
      </w:r>
    </w:p>
    <w:p w:rsidR="00C02757" w:rsidRDefault="00444AE8">
      <w:pPr>
        <w:pStyle w:val="ListBullet"/>
      </w:pPr>
      <w:r>
        <w:rPr>
          <w:b/>
        </w:rPr>
        <w:t xml:space="preserve">System identity controls: </w:t>
      </w:r>
      <w:r>
        <w:t>Treat API clients and external integrations as non-human identities with</w:t>
      </w:r>
      <w:r>
        <w:t xml:space="preserve"> scoped credentials, rotation, and monitoring.</w:t>
      </w:r>
    </w:p>
    <w:p w:rsidR="00C02757" w:rsidRDefault="00444AE8">
      <w:pPr>
        <w:pStyle w:val="ListBullet"/>
      </w:pPr>
      <w:r>
        <w:rPr>
          <w:b/>
        </w:rPr>
        <w:t xml:space="preserve">Auditability: </w:t>
      </w:r>
      <w:r>
        <w:t>Record who or what performed an action, tenant context, timestamp, transaction reference, outcome, and relevant changes.</w:t>
      </w:r>
    </w:p>
    <w:p w:rsidR="00C02757" w:rsidRDefault="00444AE8">
      <w:pPr>
        <w:pStyle w:val="ListBullet"/>
      </w:pPr>
      <w:r>
        <w:rPr>
          <w:b/>
        </w:rPr>
        <w:t xml:space="preserve">Controlled exception handling: </w:t>
      </w:r>
      <w:r>
        <w:t>Retries, reversals, corrections, and manual</w:t>
      </w:r>
      <w:r>
        <w:t xml:space="preserve"> overrides must follow explicit rules and produce an auditable record.</w:t>
      </w:r>
    </w:p>
    <w:p w:rsidR="00C02757" w:rsidRDefault="00444AE8">
      <w:pPr>
        <w:pStyle w:val="ListBullet"/>
      </w:pPr>
      <w:r>
        <w:rPr>
          <w:b/>
        </w:rPr>
        <w:t xml:space="preserve">Separation of duties: </w:t>
      </w:r>
      <w:r>
        <w:t>Platform administration, trade operations, billing, approval, and audit responsibilities should not be bundled into unrestricted access.</w:t>
      </w:r>
    </w:p>
    <w:p w:rsidR="00C02757" w:rsidRDefault="00444AE8">
      <w:pPr>
        <w:pStyle w:val="ListBullet"/>
      </w:pPr>
      <w:r>
        <w:rPr>
          <w:b/>
        </w:rPr>
        <w:t xml:space="preserve">Secure authentication: </w:t>
      </w:r>
      <w:r>
        <w:t>Use</w:t>
      </w:r>
      <w:r>
        <w:t xml:space="preserve"> appropriate authentication controls, stronger verification for privileged users, and secure credential storage for machine identities.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lastRenderedPageBreak/>
        <w:t>6. High-Level Access Matrix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C02757" w:rsidTr="00C02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rFonts w:ascii="Montserrat" w:eastAsia="Montserrat" w:hAnsi="Montserrat"/>
                <w:color w:val="FFFFFF"/>
                <w:sz w:val="18"/>
              </w:rPr>
              <w:t>Action</w:t>
            </w:r>
          </w:p>
        </w:tc>
        <w:tc>
          <w:tcPr>
            <w:tcW w:w="1987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Primary actor</w:t>
            </w:r>
          </w:p>
        </w:tc>
        <w:tc>
          <w:tcPr>
            <w:tcW w:w="1987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Data scope</w:t>
            </w:r>
          </w:p>
        </w:tc>
        <w:tc>
          <w:tcPr>
            <w:tcW w:w="1987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Control note</w:t>
            </w:r>
          </w:p>
        </w:tc>
        <w:tc>
          <w:tcPr>
            <w:tcW w:w="1987" w:type="dxa"/>
            <w:shd w:val="clear" w:color="auto" w:fill="0A19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Montserrat" w:eastAsia="Montserrat" w:hAnsi="Montserrat"/>
                <w:color w:val="FFFFFF"/>
                <w:sz w:val="18"/>
              </w:rPr>
              <w:t>Integration note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 xml:space="preserve">Manage tenants and global </w:t>
            </w:r>
            <w:r>
              <w:rPr>
                <w:sz w:val="19"/>
              </w:rPr>
              <w:t>configuration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BTI Super Admin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Manage institution users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BTI Admin / FI Admin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Own tenant only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Initiate transaction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Authorized FI Operations / API Client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Own tenant only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Via approved integration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Approve transaction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FI Approver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 xml:space="preserve">Own tenant </w:t>
            </w:r>
            <w:r>
              <w:rPr>
                <w:sz w:val="19"/>
              </w:rPr>
              <w:t>only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Only if supported and authorized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Monitor cross-tenant platform operations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BTI Operations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Operationally limited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System monitoring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View audit evidence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Authorized Auditor / Compliance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Own tenant or approved scope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Read-only by default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Audit events</w:t>
            </w:r>
            <w:r>
              <w:rPr>
                <w:sz w:val="19"/>
              </w:rPr>
              <w:t xml:space="preserve"> available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Manage invoices and platform fees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BTI Finance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BTI commercial records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 trade approval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Usage data consumed</w:t>
            </w:r>
          </w:p>
        </w:tc>
      </w:tr>
      <w:tr w:rsidR="00C02757" w:rsidTr="00C0275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>Perform settlement reconciliation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Authorized Reconciliation Officer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Assigned scope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No</w:t>
            </w:r>
          </w:p>
        </w:tc>
        <w:tc>
          <w:tcPr>
            <w:tcW w:w="1987" w:type="dxa"/>
            <w:shd w:val="clear" w:color="auto" w:fill="F6F8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Reconciliation feeds</w:t>
            </w:r>
          </w:p>
        </w:tc>
      </w:tr>
      <w:tr w:rsidR="00C02757" w:rsidTr="00C02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</w:pPr>
            <w:r>
              <w:rPr>
                <w:sz w:val="19"/>
              </w:rPr>
              <w:t xml:space="preserve">Execute commodity trades / </w:t>
            </w:r>
            <w:r>
              <w:rPr>
                <w:sz w:val="19"/>
              </w:rPr>
              <w:t>confirm settlement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External platform identity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Specific integration scope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Not applicable</w:t>
            </w:r>
          </w:p>
        </w:tc>
        <w:tc>
          <w:tcPr>
            <w:tcW w:w="1987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:rsidR="00C02757" w:rsidRDefault="00444AE8">
            <w:pPr>
              <w:spacing w:after="2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Authenticated system-to-system</w:t>
            </w:r>
          </w:p>
        </w:tc>
      </w:tr>
    </w:tbl>
    <w:p w:rsidR="00C02757" w:rsidRDefault="00444AE8">
      <w:pPr>
        <w:pStyle w:val="Heading1"/>
      </w:pPr>
      <w:r>
        <w:rPr>
          <w:rFonts w:ascii="Montserrat" w:eastAsia="Montserrat" w:hAnsi="Montserrat"/>
        </w:rPr>
        <w:t>7. Important Workflow Control</w:t>
      </w:r>
    </w:p>
    <w:p w:rsidR="00C02757" w:rsidRDefault="00444AE8">
      <w:r>
        <w:t xml:space="preserve">The platform must prevent a commodity resale from being initiated before the required commodity purchase </w:t>
      </w:r>
      <w:r>
        <w:t>is confirmed. The system should validate transaction state and evidence from the trading platform before allowing subsequent steps. Any retry or exception process must not bypass the required sequencing controls.</w:t>
      </w:r>
    </w:p>
    <w:p w:rsidR="00C02757" w:rsidRDefault="00444AE8">
      <w:r>
        <w:t>This document defines user categories and a</w:t>
      </w:r>
      <w:r>
        <w:t xml:space="preserve">ccess boundaries only. Detailed </w:t>
      </w:r>
      <w:r>
        <w:rPr>
          <w:rFonts w:ascii="Amiri" w:eastAsia="Amiri" w:hAnsi="Amiri"/>
          <w:i/>
        </w:rPr>
        <w:t>Shariah</w:t>
      </w:r>
      <w:r>
        <w:t xml:space="preserve"> approval rules, transaction-state models, regulatory obligations, external API capabilities, and institution-specific approval policies should be confirmed during solution design.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t>8. Decisions to Confirm with BTI and</w:t>
      </w:r>
      <w:r>
        <w:rPr>
          <w:rFonts w:ascii="Montserrat" w:eastAsia="Montserrat" w:hAnsi="Montserrat"/>
        </w:rPr>
        <w:t xml:space="preserve"> Each Financial Institution</w:t>
      </w:r>
    </w:p>
    <w:p w:rsidR="00C02757" w:rsidRDefault="00444AE8">
      <w:pPr>
        <w:pStyle w:val="ListBullet"/>
      </w:pPr>
      <w:r>
        <w:t>Confirm that all customer-facing acceptance, signing, and communications remain within the financial institution’s approved channels, with no direct end-customer access to BTI.</w:t>
      </w:r>
    </w:p>
    <w:p w:rsidR="00C02757" w:rsidRDefault="00444AE8">
      <w:pPr>
        <w:pStyle w:val="ListBullet"/>
      </w:pPr>
      <w:r>
        <w:t>Which transaction steps require maker-checker appro</w:t>
      </w:r>
      <w:r>
        <w:t>val, and what are the approval limits?</w:t>
      </w:r>
    </w:p>
    <w:p w:rsidR="00C02757" w:rsidRDefault="00444AE8">
      <w:pPr>
        <w:pStyle w:val="ListBullet"/>
      </w:pPr>
      <w:r>
        <w:t>Which BTI staff roles may view customer-identifiable transaction data, and under what circumstances?</w:t>
      </w:r>
    </w:p>
    <w:p w:rsidR="00C02757" w:rsidRDefault="00444AE8">
      <w:pPr>
        <w:pStyle w:val="ListBullet"/>
      </w:pPr>
      <w:r>
        <w:t>Will reconciliation and operations be separate teams in the first release?</w:t>
      </w:r>
    </w:p>
    <w:p w:rsidR="00C02757" w:rsidRDefault="00444AE8">
      <w:pPr>
        <w:pStyle w:val="ListBullet"/>
      </w:pPr>
      <w:r>
        <w:t>Which user categories need export, downlo</w:t>
      </w:r>
      <w:r>
        <w:t>ad, or document-generation privileges?</w:t>
      </w:r>
    </w:p>
    <w:p w:rsidR="00C02757" w:rsidRDefault="00444AE8">
      <w:pPr>
        <w:pStyle w:val="ListBullet"/>
      </w:pPr>
      <w:r>
        <w:t>What are the external trading platform’s actual API, callback, certificate, and settlement capabilities?</w:t>
      </w:r>
    </w:p>
    <w:p w:rsidR="00C02757" w:rsidRDefault="00444AE8">
      <w:pPr>
        <w:pStyle w:val="ListBullet"/>
      </w:pPr>
      <w:r>
        <w:t>Which authentication methods, credential rotation periods, and privileged-access controls are required?</w:t>
      </w:r>
    </w:p>
    <w:p w:rsidR="00C02757" w:rsidRDefault="00444AE8">
      <w:pPr>
        <w:pStyle w:val="ListBullet"/>
      </w:pPr>
      <w:r>
        <w:lastRenderedPageBreak/>
        <w:t>What aud</w:t>
      </w:r>
      <w:r>
        <w:t>it-log retention, tamper-resistance, and reporting requirements apply?</w:t>
      </w:r>
    </w:p>
    <w:p w:rsidR="00C02757" w:rsidRDefault="00444AE8">
      <w:pPr>
        <w:pStyle w:val="Heading1"/>
      </w:pPr>
      <w:r>
        <w:rPr>
          <w:rFonts w:ascii="Montserrat" w:eastAsia="Montserrat" w:hAnsi="Montserrat"/>
        </w:rPr>
        <w:t>9. Reference Basis and Assumptions</w:t>
      </w:r>
    </w:p>
    <w:p w:rsidR="00C02757" w:rsidRDefault="00444AE8">
      <w:r>
        <w:t xml:space="preserve">This document is based on the supplied Buruuj </w:t>
      </w:r>
      <w:r>
        <w:rPr>
          <w:rFonts w:ascii="Amiri" w:eastAsia="Amiri" w:hAnsi="Amiri"/>
          <w:i/>
        </w:rPr>
        <w:t>Tawarruq</w:t>
      </w:r>
      <w:r>
        <w:t>-as-a-Service Product Requirements Document, which identifies financial institutions, FI loan of</w:t>
      </w:r>
      <w:r>
        <w:t xml:space="preserve">ficers/administrators, Buruuj system administrators, and customer-facing processes delivered through financial institutions, and describes multi-tenancy, API and portal access, billing, reconciliation, and audit controls. Additional roles in this document </w:t>
      </w:r>
      <w:r>
        <w:t>are recommended design roles to support operational segregation and a bank-ready service. They are proposals for stakeholder validation, not confirmed organizational positions or regulatory determinations.</w:t>
      </w:r>
    </w:p>
    <w:sectPr w:rsidR="00C02757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4AE8" w:rsidRDefault="00444AE8">
      <w:pPr>
        <w:spacing w:after="0" w:line="240" w:lineRule="auto"/>
      </w:pPr>
      <w:r>
        <w:separator/>
      </w:r>
    </w:p>
  </w:endnote>
  <w:endnote w:type="continuationSeparator" w:id="0">
    <w:p w:rsidR="00444AE8" w:rsidRDefault="00444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Amiri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757" w:rsidRDefault="00444AE8">
    <w:pPr>
      <w:jc w:val="right"/>
    </w:pPr>
    <w:r>
      <w:rPr>
        <w:color w:val="6B7280"/>
        <w:sz w:val="18"/>
      </w:rPr>
      <w:t>BTI  |  Project Document — User Categories and Access Roles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4AE8" w:rsidRDefault="00444AE8">
      <w:pPr>
        <w:spacing w:after="0" w:line="240" w:lineRule="auto"/>
      </w:pPr>
      <w:r>
        <w:separator/>
      </w:r>
    </w:p>
  </w:footnote>
  <w:footnote w:type="continuationSeparator" w:id="0">
    <w:p w:rsidR="00444AE8" w:rsidRDefault="00444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757" w:rsidRDefault="00444AE8">
    <w:pPr>
      <w:pBdr>
        <w:bottom w:val="single" w:sz="18" w:space="5" w:color="79C52C"/>
      </w:pBdr>
      <w:spacing w:after="40"/>
    </w:pPr>
    <w:r>
      <w:rPr>
        <w:rFonts w:ascii="Arial" w:hAnsi="Arial"/>
        <w:b/>
        <w:color w:val="006A64"/>
        <w:sz w:val="38"/>
      </w:rPr>
      <w:t>BTI</w:t>
    </w:r>
    <w:r>
      <w:rPr>
        <w:rFonts w:ascii="Arial" w:hAnsi="Arial"/>
        <w:b/>
        <w:color w:val="092F4D"/>
        <w:sz w:val="18"/>
      </w:rPr>
      <w:t xml:space="preserve">  |  TAWARRUQ ORCHESTRATION PLATFORM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AE8"/>
    <w:rsid w:val="00AA1D8D"/>
    <w:rsid w:val="00B47730"/>
    <w:rsid w:val="00C02757"/>
    <w:rsid w:val="00CB0664"/>
    <w:rsid w:val="00E343F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798F0D9-B446-49C8-95B9-67186A41C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Inter" w:eastAsia="Inter" w:hAnsi="Inter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0A193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0A193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A193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4D1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FA5535-8063-4E34-BFF5-7C0549DBC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2102</Words>
  <Characters>11985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BTI Tawarruq Orchestration System — User Categories and Access Roles</vt:lpstr>
    </vt:vector>
  </TitlesOfParts>
  <Manager/>
  <Company/>
  <LinksUpToDate>false</LinksUpToDate>
  <CharactersWithSpaces>14059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BTI Tawarruq Orchestration System — User Categories and Access Roles</dc:title>
  <dc:subject>Updated roles, Sedania integration, and BTI document styling</dc:subject>
  <dc:creator>BTI</dc:creator>
  <cp:keywords/>
  <dc:description>generated by python-docx</dc:description>
  <cp:lastModifiedBy>Peter Kaniu</cp:lastModifiedBy>
  <cp:revision>2</cp:revision>
  <dcterms:created xsi:type="dcterms:W3CDTF">2026-10-18T09:51:00Z</dcterms:created>
  <dcterms:modified xsi:type="dcterms:W3CDTF">2026-10-18T09:51:00Z</dcterms:modified>
  <cp:category/>
</cp:coreProperties>
</file>