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EB6" w:rsidRPr="00454EB6" w:rsidRDefault="00454EB6" w:rsidP="00454EB6">
      <w:pPr>
        <w:pStyle w:val="paragraph"/>
        <w:spacing w:before="0" w:beforeAutospacing="0" w:after="0" w:afterAutospacing="0"/>
        <w:textAlignment w:val="baseline"/>
        <w:rPr>
          <w:rStyle w:val="normaltextrun"/>
          <w:b/>
          <w:bCs/>
          <w:sz w:val="32"/>
          <w:szCs w:val="32"/>
          <w:lang w:val="en-GB"/>
        </w:rPr>
      </w:pPr>
      <w:r>
        <w:rPr>
          <w:b/>
          <w:bCs/>
          <w:noProof/>
          <w:sz w:val="32"/>
          <w:szCs w:val="32"/>
        </w:rPr>
        <w:drawing>
          <wp:anchor distT="0" distB="0" distL="114300" distR="114300" simplePos="0" relativeHeight="251661312" behindDoc="1" locked="0" layoutInCell="1" allowOverlap="1">
            <wp:simplePos x="0" y="0"/>
            <wp:positionH relativeFrom="column">
              <wp:posOffset>4776716</wp:posOffset>
            </wp:positionH>
            <wp:positionV relativeFrom="page">
              <wp:posOffset>95534</wp:posOffset>
            </wp:positionV>
            <wp:extent cx="1981200" cy="23050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1).png"/>
                    <pic:cNvPicPr/>
                  </pic:nvPicPr>
                  <pic:blipFill>
                    <a:blip r:embed="rId5">
                      <a:extLst>
                        <a:ext uri="{28A0092B-C50C-407E-A947-70E740481C1C}">
                          <a14:useLocalDpi xmlns:a14="http://schemas.microsoft.com/office/drawing/2010/main" val="0"/>
                        </a:ext>
                      </a:extLst>
                    </a:blip>
                    <a:stretch>
                      <a:fillRect/>
                    </a:stretch>
                  </pic:blipFill>
                  <pic:spPr>
                    <a:xfrm>
                      <a:off x="0" y="0"/>
                      <a:ext cx="1981200" cy="2305050"/>
                    </a:xfrm>
                    <a:prstGeom prst="rect">
                      <a:avLst/>
                    </a:prstGeom>
                  </pic:spPr>
                </pic:pic>
              </a:graphicData>
            </a:graphic>
          </wp:anchor>
        </w:drawing>
      </w:r>
      <w:r w:rsidRPr="00454EB6">
        <w:rPr>
          <w:rStyle w:val="normaltextrun"/>
          <w:b/>
          <w:bCs/>
          <w:sz w:val="32"/>
          <w:szCs w:val="32"/>
          <w:lang w:val="en-GB"/>
        </w:rPr>
        <w:t xml:space="preserve">NAME: ABDUL REHMAN </w:t>
      </w:r>
    </w:p>
    <w:p w:rsidR="00454EB6" w:rsidRPr="00454EB6" w:rsidRDefault="00454EB6" w:rsidP="00454EB6">
      <w:pPr>
        <w:pStyle w:val="paragraph"/>
        <w:spacing w:before="0" w:beforeAutospacing="0" w:after="0" w:afterAutospacing="0"/>
        <w:textAlignment w:val="baseline"/>
        <w:rPr>
          <w:rStyle w:val="normaltextrun"/>
          <w:b/>
          <w:bCs/>
          <w:sz w:val="32"/>
          <w:szCs w:val="32"/>
          <w:lang w:val="en-GB"/>
        </w:rPr>
      </w:pPr>
      <w:r w:rsidRPr="00454EB6">
        <w:rPr>
          <w:rStyle w:val="normaltextrun"/>
          <w:b/>
          <w:bCs/>
          <w:sz w:val="32"/>
          <w:szCs w:val="32"/>
          <w:lang w:val="en-GB"/>
        </w:rPr>
        <w:t>ID: F2021437060</w:t>
      </w:r>
    </w:p>
    <w:p w:rsidR="00454EB6" w:rsidRDefault="00454EB6" w:rsidP="00AA724E">
      <w:pPr>
        <w:pStyle w:val="paragraph"/>
        <w:spacing w:before="0" w:beforeAutospacing="0" w:after="0" w:afterAutospacing="0"/>
        <w:jc w:val="center"/>
        <w:textAlignment w:val="baseline"/>
        <w:rPr>
          <w:rStyle w:val="normaltextrun"/>
          <w:b/>
          <w:bCs/>
          <w:sz w:val="32"/>
          <w:szCs w:val="32"/>
          <w:u w:val="single"/>
          <w:lang w:val="en-GB"/>
        </w:rPr>
      </w:pPr>
    </w:p>
    <w:p w:rsidR="00454EB6" w:rsidRDefault="00454EB6" w:rsidP="00AA724E">
      <w:pPr>
        <w:pStyle w:val="paragraph"/>
        <w:spacing w:before="0" w:beforeAutospacing="0" w:after="0" w:afterAutospacing="0"/>
        <w:jc w:val="center"/>
        <w:textAlignment w:val="baseline"/>
        <w:rPr>
          <w:rStyle w:val="normaltextrun"/>
          <w:b/>
          <w:bCs/>
          <w:sz w:val="32"/>
          <w:szCs w:val="32"/>
          <w:u w:val="single"/>
          <w:lang w:val="en-GB"/>
        </w:rPr>
      </w:pPr>
    </w:p>
    <w:p w:rsidR="00AA724E" w:rsidRDefault="00AA724E" w:rsidP="00454EB6">
      <w:pPr>
        <w:pStyle w:val="paragraph"/>
        <w:spacing w:before="0" w:beforeAutospacing="0" w:after="0" w:afterAutospacing="0"/>
        <w:jc w:val="center"/>
        <w:textAlignment w:val="baseline"/>
        <w:rPr>
          <w:rStyle w:val="eop"/>
          <w:sz w:val="32"/>
          <w:szCs w:val="32"/>
        </w:rPr>
      </w:pPr>
      <w:r>
        <w:rPr>
          <w:rStyle w:val="normaltextrun"/>
          <w:b/>
          <w:bCs/>
          <w:sz w:val="32"/>
          <w:szCs w:val="32"/>
          <w:u w:val="single"/>
          <w:lang w:val="en-GB"/>
        </w:rPr>
        <w:t>DRUG MONOGRAPH</w:t>
      </w:r>
    </w:p>
    <w:p w:rsidR="00AA724E" w:rsidRDefault="00AA724E" w:rsidP="00AA724E">
      <w:pPr>
        <w:pStyle w:val="paragraph"/>
        <w:spacing w:before="0" w:beforeAutospacing="0" w:after="0" w:afterAutospacing="0"/>
        <w:jc w:val="center"/>
        <w:textAlignment w:val="baseline"/>
        <w:rPr>
          <w:rStyle w:val="eop"/>
          <w:sz w:val="32"/>
          <w:szCs w:val="32"/>
        </w:rPr>
      </w:pPr>
    </w:p>
    <w:p w:rsidR="00AA724E" w:rsidRDefault="00AA724E" w:rsidP="00AA724E">
      <w:pPr>
        <w:pStyle w:val="paragraph"/>
        <w:spacing w:before="0" w:beforeAutospacing="0" w:after="0" w:afterAutospacing="0"/>
        <w:jc w:val="center"/>
        <w:textAlignment w:val="baseline"/>
        <w:rPr>
          <w:rFonts w:ascii="Segoe UI" w:hAnsi="Segoe UI" w:cs="Segoe UI"/>
          <w:sz w:val="18"/>
          <w:szCs w:val="18"/>
        </w:rPr>
      </w:pPr>
    </w:p>
    <w:p w:rsidR="00B56D9A" w:rsidRDefault="00AA724E" w:rsidP="00AA724E">
      <w:pPr>
        <w:pStyle w:val="paragraph"/>
        <w:spacing w:before="0" w:beforeAutospacing="0" w:after="0" w:afterAutospacing="0"/>
        <w:jc w:val="both"/>
        <w:textAlignment w:val="baseline"/>
        <w:rPr>
          <w:rStyle w:val="normaltextrun"/>
          <w:b/>
          <w:bCs/>
          <w:sz w:val="36"/>
          <w:szCs w:val="36"/>
          <w:lang w:val="en-GB"/>
        </w:rPr>
      </w:pPr>
      <w:r>
        <w:rPr>
          <w:rStyle w:val="normaltextrun"/>
          <w:b/>
          <w:bCs/>
          <w:sz w:val="36"/>
          <w:szCs w:val="36"/>
          <w:lang w:val="en-GB"/>
        </w:rPr>
        <w:t>DRUG:  ALENDRONATE</w:t>
      </w:r>
    </w:p>
    <w:p w:rsidR="00AA724E" w:rsidRDefault="00AA724E" w:rsidP="00AA724E">
      <w:pPr>
        <w:pStyle w:val="paragraph"/>
        <w:spacing w:before="0" w:beforeAutospacing="0" w:after="0" w:afterAutospacing="0"/>
        <w:jc w:val="both"/>
        <w:textAlignment w:val="baseline"/>
        <w:rPr>
          <w:rFonts w:ascii="Segoe UI" w:hAnsi="Segoe UI" w:cs="Segoe UI"/>
          <w:sz w:val="18"/>
          <w:szCs w:val="18"/>
        </w:rPr>
      </w:pPr>
      <w:r>
        <w:rPr>
          <w:rStyle w:val="eop"/>
          <w:sz w:val="36"/>
          <w:szCs w:val="36"/>
        </w:rPr>
        <w:t> </w:t>
      </w:r>
    </w:p>
    <w:p w:rsidR="00AA724E" w:rsidRDefault="00AA724E" w:rsidP="00AA724E">
      <w:pPr>
        <w:pStyle w:val="paragraph"/>
        <w:spacing w:before="0" w:beforeAutospacing="0" w:after="0" w:afterAutospacing="0"/>
        <w:jc w:val="both"/>
        <w:textAlignment w:val="baseline"/>
        <w:rPr>
          <w:rStyle w:val="eop"/>
          <w:color w:val="202227"/>
        </w:rPr>
      </w:pPr>
      <w:r>
        <w:rPr>
          <w:rStyle w:val="normaltextrun"/>
          <w:b/>
          <w:bCs/>
          <w:sz w:val="28"/>
          <w:szCs w:val="28"/>
          <w:u w:val="single"/>
          <w:lang w:val="en-GB"/>
        </w:rPr>
        <w:t>INTRODUCTION:</w:t>
      </w:r>
      <w:r>
        <w:rPr>
          <w:rStyle w:val="normaltextrun"/>
          <w:lang w:val="en-GB"/>
        </w:rPr>
        <w:t xml:space="preserve">  </w:t>
      </w:r>
      <w:r>
        <w:rPr>
          <w:rStyle w:val="normaltextrun"/>
          <w:color w:val="202227"/>
          <w:lang w:val="en-GB"/>
        </w:rPr>
        <w:t>Synthetic bisphosphonate; bone resorption inhibitor.</w:t>
      </w:r>
      <w:r>
        <w:rPr>
          <w:rStyle w:val="eop"/>
          <w:color w:val="202227"/>
        </w:rPr>
        <w:t> </w:t>
      </w:r>
    </w:p>
    <w:p w:rsidR="00AA724E" w:rsidRDefault="00AA724E" w:rsidP="00AA724E">
      <w:pPr>
        <w:pStyle w:val="paragraph"/>
        <w:spacing w:before="0" w:beforeAutospacing="0" w:after="0" w:afterAutospacing="0"/>
        <w:jc w:val="both"/>
        <w:textAlignment w:val="baseline"/>
        <w:rPr>
          <w:rFonts w:ascii="Segoe UI" w:hAnsi="Segoe UI" w:cs="Segoe UI"/>
          <w:sz w:val="18"/>
          <w:szCs w:val="18"/>
        </w:rPr>
      </w:pPr>
    </w:p>
    <w:p w:rsidR="00AA724E" w:rsidRDefault="00AA724E" w:rsidP="00AA724E">
      <w:pPr>
        <w:pStyle w:val="paragraph"/>
        <w:spacing w:before="0" w:beforeAutospacing="0" w:after="0" w:afterAutospacing="0"/>
        <w:jc w:val="both"/>
        <w:textAlignment w:val="baseline"/>
        <w:rPr>
          <w:rFonts w:ascii="Segoe UI" w:hAnsi="Segoe UI" w:cs="Segoe UI"/>
          <w:sz w:val="18"/>
          <w:szCs w:val="18"/>
        </w:rPr>
      </w:pPr>
      <w:r>
        <w:rPr>
          <w:rFonts w:ascii="Segoe UI" w:hAnsi="Segoe UI" w:cs="Segoe UI"/>
          <w:noProof/>
          <w:sz w:val="18"/>
          <w:szCs w:val="18"/>
        </w:rPr>
        <w:drawing>
          <wp:anchor distT="0" distB="0" distL="114300" distR="114300" simplePos="0" relativeHeight="251658240" behindDoc="0" locked="0" layoutInCell="1" allowOverlap="1">
            <wp:simplePos x="0" y="0"/>
            <wp:positionH relativeFrom="page">
              <wp:align>right</wp:align>
            </wp:positionH>
            <wp:positionV relativeFrom="page">
              <wp:posOffset>2729230</wp:posOffset>
            </wp:positionV>
            <wp:extent cx="1941089" cy="2169994"/>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ndronic_acid.svg.png"/>
                    <pic:cNvPicPr/>
                  </pic:nvPicPr>
                  <pic:blipFill>
                    <a:blip r:embed="rId6">
                      <a:extLst>
                        <a:ext uri="{28A0092B-C50C-407E-A947-70E740481C1C}">
                          <a14:useLocalDpi xmlns:a14="http://schemas.microsoft.com/office/drawing/2010/main" val="0"/>
                        </a:ext>
                      </a:extLst>
                    </a:blip>
                    <a:stretch>
                      <a:fillRect/>
                    </a:stretch>
                  </pic:blipFill>
                  <pic:spPr>
                    <a:xfrm>
                      <a:off x="0" y="0"/>
                      <a:ext cx="1941089" cy="2169994"/>
                    </a:xfrm>
                    <a:prstGeom prst="rect">
                      <a:avLst/>
                    </a:prstGeom>
                  </pic:spPr>
                </pic:pic>
              </a:graphicData>
            </a:graphic>
            <wp14:sizeRelV relativeFrom="margin">
              <wp14:pctHeight>0</wp14:pctHeight>
            </wp14:sizeRelV>
          </wp:anchor>
        </w:drawing>
      </w:r>
      <w:r>
        <w:rPr>
          <w:rStyle w:val="normaltextrun"/>
          <w:color w:val="202122"/>
          <w:lang w:val="en-GB"/>
        </w:rPr>
        <w:t>Alendronic acid was first described in 1978 and approved for medical use in the United States in 1995. It is available as a generic medication. In 2022, it was the 103rd most prescribed medication in the United States, with more than 6 million prescriptions.</w:t>
      </w:r>
      <w:r>
        <w:rPr>
          <w:rStyle w:val="eop"/>
          <w:color w:val="202122"/>
        </w:rPr>
        <w:t> </w:t>
      </w:r>
    </w:p>
    <w:p w:rsidR="00AA724E" w:rsidRDefault="00AA724E" w:rsidP="00AA724E">
      <w:pPr>
        <w:pStyle w:val="paragraph"/>
        <w:spacing w:before="0" w:beforeAutospacing="0" w:after="0" w:afterAutospacing="0"/>
        <w:jc w:val="both"/>
        <w:textAlignment w:val="baseline"/>
        <w:rPr>
          <w:rStyle w:val="eop"/>
          <w:color w:val="202122"/>
        </w:rPr>
      </w:pPr>
      <w:r>
        <w:rPr>
          <w:rStyle w:val="eop"/>
          <w:color w:val="202122"/>
        </w:rPr>
        <w:t> </w:t>
      </w:r>
    </w:p>
    <w:p w:rsidR="00690CC2" w:rsidRPr="00351B58" w:rsidRDefault="00AA724E" w:rsidP="00AA724E">
      <w:pPr>
        <w:pStyle w:val="paragraph"/>
        <w:spacing w:before="0" w:beforeAutospacing="0" w:after="0" w:afterAutospacing="0"/>
        <w:jc w:val="both"/>
        <w:textAlignment w:val="baseline"/>
        <w:rPr>
          <w:b/>
          <w:bCs/>
          <w:color w:val="202227"/>
          <w:sz w:val="28"/>
          <w:szCs w:val="28"/>
          <w:shd w:val="clear" w:color="auto" w:fill="FFFFFF"/>
        </w:rPr>
      </w:pPr>
      <w:r w:rsidRPr="00351B58">
        <w:rPr>
          <w:b/>
          <w:bCs/>
          <w:color w:val="202227"/>
          <w:sz w:val="28"/>
          <w:szCs w:val="28"/>
          <w:shd w:val="clear" w:color="auto" w:fill="FFFFFF"/>
        </w:rPr>
        <w:t>Drug</w:t>
      </w:r>
      <w:r w:rsidR="00690CC2" w:rsidRPr="00351B58">
        <w:rPr>
          <w:b/>
          <w:bCs/>
          <w:color w:val="202227"/>
          <w:sz w:val="28"/>
          <w:szCs w:val="28"/>
          <w:shd w:val="clear" w:color="auto" w:fill="FFFFFF"/>
        </w:rPr>
        <w:t xml:space="preserve"> class:</w:t>
      </w:r>
    </w:p>
    <w:p w:rsidR="00690CC2" w:rsidRDefault="00690CC2" w:rsidP="00690CC2">
      <w:pPr>
        <w:pStyle w:val="paragraph"/>
        <w:numPr>
          <w:ilvl w:val="0"/>
          <w:numId w:val="1"/>
        </w:numPr>
        <w:spacing w:before="0" w:beforeAutospacing="0" w:after="0" w:afterAutospacing="0"/>
        <w:jc w:val="both"/>
        <w:textAlignment w:val="baseline"/>
        <w:rPr>
          <w:color w:val="202227"/>
          <w:shd w:val="clear" w:color="auto" w:fill="FFFFFF"/>
        </w:rPr>
      </w:pPr>
      <w:r>
        <w:rPr>
          <w:color w:val="202227"/>
          <w:shd w:val="clear" w:color="auto" w:fill="FFFFFF"/>
        </w:rPr>
        <w:t>Bone Resorption Inhibitor</w:t>
      </w:r>
    </w:p>
    <w:p w:rsidR="00690CC2" w:rsidRPr="00690CC2" w:rsidRDefault="00690CC2" w:rsidP="00690CC2">
      <w:pPr>
        <w:pStyle w:val="paragraph"/>
        <w:numPr>
          <w:ilvl w:val="0"/>
          <w:numId w:val="1"/>
        </w:numPr>
        <w:spacing w:before="0" w:beforeAutospacing="0" w:after="0" w:afterAutospacing="0"/>
        <w:jc w:val="both"/>
        <w:textAlignment w:val="baseline"/>
        <w:rPr>
          <w:b/>
          <w:bCs/>
          <w:color w:val="202227"/>
          <w:shd w:val="clear" w:color="auto" w:fill="FFFFFF"/>
        </w:rPr>
      </w:pPr>
      <w:r>
        <w:rPr>
          <w:color w:val="202227"/>
          <w:shd w:val="clear" w:color="auto" w:fill="FFFFFF"/>
        </w:rPr>
        <w:t>Bisphosphonates</w:t>
      </w:r>
    </w:p>
    <w:p w:rsidR="00690CC2" w:rsidRDefault="00690CC2" w:rsidP="00690CC2">
      <w:pPr>
        <w:pStyle w:val="paragraph"/>
        <w:spacing w:before="0" w:beforeAutospacing="0" w:after="0" w:afterAutospacing="0"/>
        <w:ind w:left="720"/>
        <w:jc w:val="both"/>
        <w:textAlignment w:val="baseline"/>
        <w:rPr>
          <w:color w:val="202227"/>
          <w:shd w:val="clear" w:color="auto" w:fill="FFFFFF"/>
        </w:rPr>
      </w:pPr>
    </w:p>
    <w:p w:rsidR="00690CC2" w:rsidRPr="00690CC2" w:rsidRDefault="00690CC2" w:rsidP="00690CC2">
      <w:pPr>
        <w:pStyle w:val="paragraph"/>
        <w:spacing w:before="0" w:beforeAutospacing="0" w:after="0" w:afterAutospacing="0"/>
        <w:jc w:val="both"/>
        <w:textAlignment w:val="baseline"/>
        <w:rPr>
          <w:color w:val="202227"/>
          <w:shd w:val="clear" w:color="auto" w:fill="FFFFFF"/>
        </w:rPr>
      </w:pPr>
      <w:r w:rsidRPr="00351B58">
        <w:rPr>
          <w:b/>
          <w:bCs/>
          <w:color w:val="202227"/>
          <w:sz w:val="28"/>
          <w:szCs w:val="28"/>
          <w:shd w:val="clear" w:color="auto" w:fill="FFFFFF"/>
        </w:rPr>
        <w:t>Chemical name</w:t>
      </w:r>
      <w:r w:rsidRPr="00351B58">
        <w:rPr>
          <w:b/>
          <w:bCs/>
          <w:color w:val="202227"/>
          <w:sz w:val="28"/>
          <w:szCs w:val="28"/>
          <w:shd w:val="clear" w:color="auto" w:fill="FFFFFF"/>
        </w:rPr>
        <w:t>:</w:t>
      </w:r>
      <w:r>
        <w:rPr>
          <w:rFonts w:ascii="Arial" w:hAnsi="Arial" w:cs="Arial"/>
          <w:color w:val="202227"/>
          <w:sz w:val="23"/>
          <w:szCs w:val="23"/>
          <w:shd w:val="clear" w:color="auto" w:fill="FFFFFF"/>
        </w:rPr>
        <w:t> </w:t>
      </w:r>
      <w:r w:rsidRPr="00690CC2">
        <w:rPr>
          <w:color w:val="202227"/>
          <w:shd w:val="clear" w:color="auto" w:fill="FFFFFF"/>
        </w:rPr>
        <w:t>(4-Amino-1-hydroxybutylidene)</w:t>
      </w:r>
      <w:r w:rsidRPr="00690CC2">
        <w:rPr>
          <w:color w:val="202227"/>
          <w:shd w:val="clear" w:color="auto" w:fill="FFFFFF"/>
        </w:rPr>
        <w:t xml:space="preserve"> </w:t>
      </w:r>
      <w:r w:rsidRPr="00690CC2">
        <w:rPr>
          <w:color w:val="202227"/>
          <w:shd w:val="clear" w:color="auto" w:fill="FFFFFF"/>
        </w:rPr>
        <w:t xml:space="preserve">bis-phosphonic acid, </w:t>
      </w:r>
    </w:p>
    <w:p w:rsidR="00690CC2" w:rsidRDefault="00690CC2" w:rsidP="00690CC2">
      <w:pPr>
        <w:pStyle w:val="paragraph"/>
        <w:spacing w:before="0" w:beforeAutospacing="0" w:after="0" w:afterAutospacing="0"/>
        <w:jc w:val="both"/>
        <w:textAlignment w:val="baseline"/>
        <w:rPr>
          <w:rFonts w:ascii="Arial" w:hAnsi="Arial" w:cs="Arial"/>
          <w:color w:val="202227"/>
          <w:sz w:val="23"/>
          <w:szCs w:val="23"/>
          <w:shd w:val="clear" w:color="auto" w:fill="FFFFFF"/>
        </w:rPr>
      </w:pPr>
      <w:r w:rsidRPr="00690CC2">
        <w:rPr>
          <w:color w:val="202227"/>
          <w:shd w:val="clear" w:color="auto" w:fill="FFFFFF"/>
        </w:rPr>
        <w:t>M</w:t>
      </w:r>
      <w:r w:rsidRPr="00690CC2">
        <w:rPr>
          <w:color w:val="202227"/>
          <w:shd w:val="clear" w:color="auto" w:fill="FFFFFF"/>
        </w:rPr>
        <w:t>ono</w:t>
      </w:r>
      <w:r>
        <w:rPr>
          <w:color w:val="202227"/>
          <w:shd w:val="clear" w:color="auto" w:fill="FFFFFF"/>
        </w:rPr>
        <w:t xml:space="preserve"> </w:t>
      </w:r>
      <w:r w:rsidRPr="00690CC2">
        <w:rPr>
          <w:color w:val="202227"/>
          <w:shd w:val="clear" w:color="auto" w:fill="FFFFFF"/>
        </w:rPr>
        <w:t>sodium salt, trihydrate</w:t>
      </w:r>
      <w:r>
        <w:rPr>
          <w:rFonts w:ascii="Arial" w:hAnsi="Arial" w:cs="Arial"/>
          <w:color w:val="202227"/>
          <w:sz w:val="23"/>
          <w:szCs w:val="23"/>
          <w:shd w:val="clear" w:color="auto" w:fill="FFFFFF"/>
        </w:rPr>
        <w:t>.</w:t>
      </w:r>
    </w:p>
    <w:p w:rsidR="00690CC2" w:rsidRDefault="00690CC2" w:rsidP="00690CC2">
      <w:pPr>
        <w:pStyle w:val="paragraph"/>
        <w:spacing w:before="0" w:beforeAutospacing="0" w:after="0" w:afterAutospacing="0"/>
        <w:jc w:val="both"/>
        <w:textAlignment w:val="baseline"/>
        <w:rPr>
          <w:rFonts w:ascii="Arial" w:hAnsi="Arial" w:cs="Arial"/>
          <w:color w:val="202227"/>
          <w:sz w:val="23"/>
          <w:szCs w:val="23"/>
          <w:shd w:val="clear" w:color="auto" w:fill="FFFFFF"/>
        </w:rPr>
      </w:pPr>
    </w:p>
    <w:p w:rsidR="00B56D9A" w:rsidRDefault="00410493" w:rsidP="00690CC2">
      <w:pPr>
        <w:pStyle w:val="paragraph"/>
        <w:spacing w:before="0" w:beforeAutospacing="0" w:after="0" w:afterAutospacing="0"/>
        <w:jc w:val="both"/>
        <w:textAlignment w:val="baseline"/>
        <w:rPr>
          <w:color w:val="202227"/>
          <w:shd w:val="clear" w:color="auto" w:fill="FFFFFF"/>
        </w:rPr>
      </w:pPr>
      <w:r>
        <w:rPr>
          <w:b/>
          <w:bCs/>
          <w:noProof/>
          <w:color w:val="202227"/>
          <w:sz w:val="28"/>
          <w:szCs w:val="28"/>
        </w:rPr>
        <w:drawing>
          <wp:anchor distT="0" distB="0" distL="114300" distR="114300" simplePos="0" relativeHeight="251659264" behindDoc="0" locked="0" layoutInCell="1" allowOverlap="1">
            <wp:simplePos x="0" y="0"/>
            <wp:positionH relativeFrom="page">
              <wp:align>right</wp:align>
            </wp:positionH>
            <wp:positionV relativeFrom="margin">
              <wp:posOffset>3575050</wp:posOffset>
            </wp:positionV>
            <wp:extent cx="1945640" cy="2486025"/>
            <wp:effectExtent l="0" t="0" r="0" b="0"/>
            <wp:wrapThrough wrapText="bothSides">
              <wp:wrapPolygon edited="0">
                <wp:start x="9728" y="662"/>
                <wp:lineTo x="9094" y="1821"/>
                <wp:lineTo x="9094" y="4800"/>
                <wp:lineTo x="10997" y="6290"/>
                <wp:lineTo x="8248" y="6455"/>
                <wp:lineTo x="7614" y="7448"/>
                <wp:lineTo x="7825" y="11586"/>
                <wp:lineTo x="3595" y="12745"/>
                <wp:lineTo x="2115" y="13572"/>
                <wp:lineTo x="2115" y="14234"/>
                <wp:lineTo x="3595" y="16883"/>
                <wp:lineTo x="1480" y="17876"/>
                <wp:lineTo x="634" y="18538"/>
                <wp:lineTo x="634" y="19862"/>
                <wp:lineTo x="3384" y="20524"/>
                <wp:lineTo x="5287" y="20855"/>
                <wp:lineTo x="6979" y="20855"/>
                <wp:lineTo x="8248" y="20524"/>
                <wp:lineTo x="20091" y="19697"/>
                <wp:lineTo x="20091" y="19531"/>
                <wp:lineTo x="20937" y="18372"/>
                <wp:lineTo x="19880" y="17214"/>
                <wp:lineTo x="17765" y="16883"/>
                <wp:lineTo x="19034" y="13076"/>
                <wp:lineTo x="18611" y="12248"/>
                <wp:lineTo x="16708" y="11586"/>
                <wp:lineTo x="17765" y="5462"/>
                <wp:lineTo x="16496" y="4469"/>
                <wp:lineTo x="14170" y="3476"/>
                <wp:lineTo x="11632" y="662"/>
                <wp:lineTo x="9728" y="662"/>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endronate-3D-balls.png"/>
                    <pic:cNvPicPr/>
                  </pic:nvPicPr>
                  <pic:blipFill>
                    <a:blip r:embed="rId7">
                      <a:extLst>
                        <a:ext uri="{28A0092B-C50C-407E-A947-70E740481C1C}">
                          <a14:useLocalDpi xmlns:a14="http://schemas.microsoft.com/office/drawing/2010/main" val="0"/>
                        </a:ext>
                      </a:extLst>
                    </a:blip>
                    <a:stretch>
                      <a:fillRect/>
                    </a:stretch>
                  </pic:blipFill>
                  <pic:spPr>
                    <a:xfrm>
                      <a:off x="0" y="0"/>
                      <a:ext cx="1945640" cy="2486025"/>
                    </a:xfrm>
                    <a:prstGeom prst="rect">
                      <a:avLst/>
                    </a:prstGeom>
                  </pic:spPr>
                </pic:pic>
              </a:graphicData>
            </a:graphic>
            <wp14:sizeRelH relativeFrom="margin">
              <wp14:pctWidth>0</wp14:pctWidth>
            </wp14:sizeRelH>
            <wp14:sizeRelV relativeFrom="margin">
              <wp14:pctHeight>0</wp14:pctHeight>
            </wp14:sizeRelV>
          </wp:anchor>
        </w:drawing>
      </w:r>
      <w:r w:rsidR="00690CC2" w:rsidRPr="00351B58">
        <w:rPr>
          <w:b/>
          <w:bCs/>
          <w:color w:val="202227"/>
          <w:sz w:val="28"/>
          <w:szCs w:val="28"/>
          <w:shd w:val="clear" w:color="auto" w:fill="FFFFFF"/>
        </w:rPr>
        <w:t>Molecular formula</w:t>
      </w:r>
      <w:r w:rsidR="00690CC2" w:rsidRPr="00690CC2">
        <w:rPr>
          <w:b/>
          <w:bCs/>
          <w:color w:val="202227"/>
          <w:shd w:val="clear" w:color="auto" w:fill="FFFFFF"/>
        </w:rPr>
        <w:t>:</w:t>
      </w:r>
      <w:r w:rsidR="00690CC2" w:rsidRPr="00690CC2">
        <w:rPr>
          <w:color w:val="202227"/>
          <w:shd w:val="clear" w:color="auto" w:fill="FFFFFF"/>
        </w:rPr>
        <w:t> C</w:t>
      </w:r>
      <w:r w:rsidR="00690CC2" w:rsidRPr="00690CC2">
        <w:rPr>
          <w:color w:val="202227"/>
          <w:shd w:val="clear" w:color="auto" w:fill="FFFFFF"/>
          <w:vertAlign w:val="subscript"/>
        </w:rPr>
        <w:t>4</w:t>
      </w:r>
      <w:r w:rsidR="00690CC2" w:rsidRPr="00690CC2">
        <w:rPr>
          <w:color w:val="202227"/>
          <w:shd w:val="clear" w:color="auto" w:fill="FFFFFF"/>
        </w:rPr>
        <w:t>H</w:t>
      </w:r>
      <w:r w:rsidR="00690CC2" w:rsidRPr="00690CC2">
        <w:rPr>
          <w:color w:val="202227"/>
          <w:shd w:val="clear" w:color="auto" w:fill="FFFFFF"/>
          <w:vertAlign w:val="subscript"/>
        </w:rPr>
        <w:t>13</w:t>
      </w:r>
      <w:r w:rsidR="00690CC2" w:rsidRPr="00690CC2">
        <w:rPr>
          <w:color w:val="202227"/>
          <w:shd w:val="clear" w:color="auto" w:fill="FFFFFF"/>
        </w:rPr>
        <w:t>NO</w:t>
      </w:r>
      <w:r w:rsidR="00690CC2" w:rsidRPr="00690CC2">
        <w:rPr>
          <w:color w:val="202227"/>
          <w:shd w:val="clear" w:color="auto" w:fill="FFFFFF"/>
          <w:vertAlign w:val="subscript"/>
        </w:rPr>
        <w:t>7</w:t>
      </w:r>
      <w:r w:rsidR="00690CC2" w:rsidRPr="00690CC2">
        <w:rPr>
          <w:color w:val="202227"/>
          <w:shd w:val="clear" w:color="auto" w:fill="FFFFFF"/>
        </w:rPr>
        <w:t>P</w:t>
      </w:r>
      <w:r w:rsidR="00690CC2" w:rsidRPr="00690CC2">
        <w:rPr>
          <w:color w:val="202227"/>
          <w:shd w:val="clear" w:color="auto" w:fill="FFFFFF"/>
          <w:vertAlign w:val="subscript"/>
        </w:rPr>
        <w:t>2</w:t>
      </w:r>
      <w:r w:rsidR="00690CC2" w:rsidRPr="00690CC2">
        <w:rPr>
          <w:color w:val="202227"/>
          <w:shd w:val="clear" w:color="auto" w:fill="FFFFFF"/>
        </w:rPr>
        <w:t>•3H</w:t>
      </w:r>
      <w:r w:rsidR="00690CC2" w:rsidRPr="00690CC2">
        <w:rPr>
          <w:color w:val="202227"/>
          <w:shd w:val="clear" w:color="auto" w:fill="FFFFFF"/>
          <w:vertAlign w:val="subscript"/>
        </w:rPr>
        <w:t>2</w:t>
      </w:r>
      <w:r w:rsidR="00690CC2" w:rsidRPr="00690CC2">
        <w:rPr>
          <w:color w:val="202227"/>
          <w:shd w:val="clear" w:color="auto" w:fill="FFFFFF"/>
        </w:rPr>
        <w:t>O•Na</w:t>
      </w:r>
      <w:r w:rsidR="003229D6">
        <w:rPr>
          <w:color w:val="202227"/>
          <w:shd w:val="clear" w:color="auto" w:fill="FFFFFF"/>
        </w:rPr>
        <w:t xml:space="preserve"> </w:t>
      </w:r>
    </w:p>
    <w:p w:rsidR="00210E28" w:rsidRDefault="00210E28" w:rsidP="00690CC2">
      <w:pPr>
        <w:pStyle w:val="paragraph"/>
        <w:spacing w:before="0" w:beforeAutospacing="0" w:after="0" w:afterAutospacing="0"/>
        <w:jc w:val="both"/>
        <w:textAlignment w:val="baseline"/>
        <w:rPr>
          <w:color w:val="202227"/>
          <w:shd w:val="clear" w:color="auto" w:fill="FFFFFF"/>
        </w:rPr>
      </w:pPr>
    </w:p>
    <w:p w:rsidR="00210E28" w:rsidRDefault="00210E28" w:rsidP="00690CC2">
      <w:pPr>
        <w:pStyle w:val="paragraph"/>
        <w:spacing w:before="0" w:beforeAutospacing="0" w:after="0" w:afterAutospacing="0"/>
        <w:jc w:val="both"/>
        <w:textAlignment w:val="baseline"/>
        <w:rPr>
          <w:b/>
          <w:color w:val="202227"/>
          <w:sz w:val="32"/>
          <w:szCs w:val="32"/>
          <w:u w:val="single"/>
          <w:shd w:val="clear" w:color="auto" w:fill="FFFFFF"/>
        </w:rPr>
      </w:pPr>
      <w:r w:rsidRPr="00B7095C">
        <w:rPr>
          <w:b/>
          <w:color w:val="202227"/>
          <w:sz w:val="32"/>
          <w:szCs w:val="32"/>
          <w:u w:val="single"/>
          <w:shd w:val="clear" w:color="auto" w:fill="FFFFFF"/>
        </w:rPr>
        <w:t>M</w:t>
      </w:r>
      <w:r w:rsidR="00B7095C">
        <w:rPr>
          <w:b/>
          <w:color w:val="202227"/>
          <w:sz w:val="32"/>
          <w:szCs w:val="32"/>
          <w:u w:val="single"/>
          <w:shd w:val="clear" w:color="auto" w:fill="FFFFFF"/>
        </w:rPr>
        <w:t>ECHANISM OF ACTION:</w:t>
      </w:r>
    </w:p>
    <w:p w:rsidR="00B56D9A" w:rsidRDefault="00B56D9A" w:rsidP="00690CC2">
      <w:pPr>
        <w:pStyle w:val="paragraph"/>
        <w:spacing w:before="0" w:beforeAutospacing="0" w:after="0" w:afterAutospacing="0"/>
        <w:jc w:val="both"/>
        <w:textAlignment w:val="baseline"/>
        <w:rPr>
          <w:b/>
          <w:color w:val="202227"/>
          <w:sz w:val="32"/>
          <w:szCs w:val="32"/>
          <w:u w:val="single"/>
          <w:shd w:val="clear" w:color="auto" w:fill="FFFFFF"/>
        </w:rPr>
      </w:pPr>
    </w:p>
    <w:p w:rsidR="00B7095C" w:rsidRPr="00B7095C" w:rsidRDefault="00B7095C" w:rsidP="00690CC2">
      <w:pPr>
        <w:pStyle w:val="paragraph"/>
        <w:spacing w:before="0" w:beforeAutospacing="0" w:after="0" w:afterAutospacing="0"/>
        <w:jc w:val="both"/>
        <w:textAlignment w:val="baseline"/>
        <w:rPr>
          <w:color w:val="202227"/>
          <w:shd w:val="clear" w:color="auto" w:fill="FFFFFF"/>
        </w:rPr>
      </w:pPr>
      <w:r w:rsidRPr="00B7095C">
        <w:rPr>
          <w:color w:val="202122"/>
          <w:shd w:val="clear" w:color="auto" w:fill="FFFFFF"/>
        </w:rPr>
        <w:t>Nitrogen containing bisphosphonates, which include </w:t>
      </w:r>
      <w:r>
        <w:rPr>
          <w:shd w:val="clear" w:color="auto" w:fill="FFFFFF"/>
        </w:rPr>
        <w:t>ibandronate</w:t>
      </w:r>
      <w:r w:rsidRPr="00B7095C">
        <w:rPr>
          <w:color w:val="202122"/>
          <w:shd w:val="clear" w:color="auto" w:fill="FFFFFF"/>
        </w:rPr>
        <w:t>, </w:t>
      </w:r>
      <w:r>
        <w:rPr>
          <w:shd w:val="clear" w:color="auto" w:fill="FFFFFF"/>
        </w:rPr>
        <w:t>pamidronate</w:t>
      </w:r>
      <w:r w:rsidRPr="00B7095C">
        <w:rPr>
          <w:color w:val="202122"/>
          <w:shd w:val="clear" w:color="auto" w:fill="FFFFFF"/>
        </w:rPr>
        <w:t> and alendronate exert their effects on osteoclasts mainly by inhibiting the synthesis of isoprenoid lipids such as </w:t>
      </w:r>
      <w:r w:rsidRPr="00B7095C">
        <w:rPr>
          <w:shd w:val="clear" w:color="auto" w:fill="FFFFFF"/>
        </w:rPr>
        <w:t>isopentenyl diphosphate</w:t>
      </w:r>
      <w:r>
        <w:rPr>
          <w:color w:val="202122"/>
          <w:shd w:val="clear" w:color="auto" w:fill="FFFFFF"/>
        </w:rPr>
        <w:t>e</w:t>
      </w:r>
      <w:r w:rsidRPr="00B7095C">
        <w:rPr>
          <w:color w:val="202122"/>
          <w:shd w:val="clear" w:color="auto" w:fill="FFFFFF"/>
        </w:rPr>
        <w:t> (IPP), </w:t>
      </w:r>
      <w:r w:rsidRPr="00B7095C">
        <w:rPr>
          <w:shd w:val="clear" w:color="auto" w:fill="FFFFFF"/>
        </w:rPr>
        <w:t>farnesyl diphosphate</w:t>
      </w:r>
      <w:r w:rsidRPr="00B7095C">
        <w:rPr>
          <w:color w:val="202122"/>
          <w:shd w:val="clear" w:color="auto" w:fill="FFFFFF"/>
        </w:rPr>
        <w:t> (FPP), and </w:t>
      </w:r>
      <w:r w:rsidRPr="00B7095C">
        <w:rPr>
          <w:shd w:val="clear" w:color="auto" w:fill="FFFFFF"/>
        </w:rPr>
        <w:t>geranylgeranyl diphosphate</w:t>
      </w:r>
      <w:r w:rsidRPr="00B7095C">
        <w:rPr>
          <w:color w:val="202122"/>
          <w:shd w:val="clear" w:color="auto" w:fill="FFFFFF"/>
        </w:rPr>
        <w:t> </w:t>
      </w:r>
      <w:r>
        <w:rPr>
          <w:color w:val="202122"/>
          <w:shd w:val="clear" w:color="auto" w:fill="FFFFFF"/>
        </w:rPr>
        <w:t xml:space="preserve"> </w:t>
      </w:r>
      <w:r w:rsidRPr="00B7095C">
        <w:rPr>
          <w:color w:val="202122"/>
          <w:shd w:val="clear" w:color="auto" w:fill="FFFFFF"/>
        </w:rPr>
        <w:t xml:space="preserve"> via the </w:t>
      </w:r>
      <w:r w:rsidRPr="00B7095C">
        <w:rPr>
          <w:shd w:val="clear" w:color="auto" w:fill="FFFFFF"/>
        </w:rPr>
        <w:t>mevalonate pathway</w:t>
      </w:r>
      <w:r w:rsidRPr="00B7095C">
        <w:rPr>
          <w:color w:val="202122"/>
          <w:shd w:val="clear" w:color="auto" w:fill="FFFFFF"/>
        </w:rPr>
        <w:t>. These isoprenoids are used in posttranslational modification</w:t>
      </w:r>
      <w:r>
        <w:rPr>
          <w:color w:val="202122"/>
          <w:shd w:val="clear" w:color="auto" w:fill="FFFFFF"/>
        </w:rPr>
        <w:t xml:space="preserve"> (prenylation) of small GT</w:t>
      </w:r>
      <w:r w:rsidRPr="00B7095C">
        <w:rPr>
          <w:color w:val="202122"/>
          <w:shd w:val="clear" w:color="auto" w:fill="FFFFFF"/>
        </w:rPr>
        <w:t>Pases such as </w:t>
      </w:r>
      <w:r w:rsidRPr="00B7095C">
        <w:rPr>
          <w:shd w:val="clear" w:color="auto" w:fill="FFFFFF"/>
        </w:rPr>
        <w:t>Ras</w:t>
      </w:r>
      <w:r w:rsidRPr="00B7095C">
        <w:rPr>
          <w:color w:val="202122"/>
          <w:shd w:val="clear" w:color="auto" w:fill="FFFFFF"/>
        </w:rPr>
        <w:t>, </w:t>
      </w:r>
      <w:r w:rsidRPr="00B7095C">
        <w:rPr>
          <w:shd w:val="clear" w:color="auto" w:fill="FFFFFF"/>
        </w:rPr>
        <w:t>Rho</w:t>
      </w:r>
      <w:r w:rsidRPr="00B7095C">
        <w:rPr>
          <w:color w:val="202122"/>
          <w:shd w:val="clear" w:color="auto" w:fill="FFFFFF"/>
        </w:rPr>
        <w:t>, and </w:t>
      </w:r>
      <w:r w:rsidRPr="00B7095C">
        <w:rPr>
          <w:shd w:val="clear" w:color="auto" w:fill="FFFFFF"/>
        </w:rPr>
        <w:t>Rac</w:t>
      </w:r>
      <w:r w:rsidRPr="00B7095C">
        <w:rPr>
          <w:color w:val="202122"/>
          <w:shd w:val="clear" w:color="auto" w:fill="FFFFFF"/>
        </w:rPr>
        <w:t>. These prenylated GTPases are necessary for various cellular processes including osteoclast morphology, endosome trafficking, and </w:t>
      </w:r>
      <w:r w:rsidRPr="00B7095C">
        <w:rPr>
          <w:shd w:val="clear" w:color="auto" w:fill="FFFFFF"/>
        </w:rPr>
        <w:t>apoptosis</w:t>
      </w:r>
      <w:r w:rsidRPr="00B7095C">
        <w:rPr>
          <w:color w:val="202122"/>
          <w:shd w:val="clear" w:color="auto" w:fill="FFFFFF"/>
        </w:rPr>
        <w:t>. Alendronate has also been shown to impair the function of osteclast </w:t>
      </w:r>
      <w:r w:rsidRPr="00B7095C">
        <w:rPr>
          <w:shd w:val="clear" w:color="auto" w:fill="FFFFFF"/>
        </w:rPr>
        <w:t>lysosomes</w:t>
      </w:r>
      <w:r w:rsidRPr="00B7095C">
        <w:rPr>
          <w:color w:val="202122"/>
          <w:shd w:val="clear" w:color="auto" w:fill="FFFFFF"/>
        </w:rPr>
        <w:t>.</w:t>
      </w:r>
    </w:p>
    <w:p w:rsidR="00210E28" w:rsidRDefault="00210E28" w:rsidP="00690CC2">
      <w:pPr>
        <w:pStyle w:val="paragraph"/>
        <w:spacing w:before="0" w:beforeAutospacing="0" w:after="0" w:afterAutospacing="0"/>
        <w:jc w:val="both"/>
        <w:textAlignment w:val="baseline"/>
        <w:rPr>
          <w:color w:val="202227"/>
          <w:shd w:val="clear" w:color="auto" w:fill="FFFFFF"/>
        </w:rPr>
      </w:pPr>
    </w:p>
    <w:p w:rsidR="00600240" w:rsidRDefault="00600240" w:rsidP="001719A7">
      <w:pPr>
        <w:pStyle w:val="paragraph"/>
        <w:spacing w:after="0"/>
        <w:jc w:val="both"/>
        <w:textAlignment w:val="baseline"/>
        <w:rPr>
          <w:b/>
          <w:color w:val="202227"/>
          <w:sz w:val="32"/>
          <w:szCs w:val="32"/>
          <w:shd w:val="clear" w:color="auto" w:fill="FFFFFF"/>
        </w:rPr>
      </w:pPr>
      <w:r>
        <w:rPr>
          <w:b/>
          <w:noProof/>
          <w:color w:val="202227"/>
          <w:sz w:val="32"/>
          <w:szCs w:val="32"/>
          <w:shd w:val="clear" w:color="auto" w:fill="FFFFFF"/>
        </w:rPr>
        <w:drawing>
          <wp:inline distT="0" distB="0" distL="0" distR="0">
            <wp:extent cx="4540011" cy="107817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4742063" cy="1126157"/>
                    </a:xfrm>
                    <a:prstGeom prst="rect">
                      <a:avLst/>
                    </a:prstGeom>
                  </pic:spPr>
                </pic:pic>
              </a:graphicData>
            </a:graphic>
          </wp:inline>
        </w:drawing>
      </w:r>
    </w:p>
    <w:p w:rsidR="00454EB6" w:rsidRPr="00B56D9A" w:rsidRDefault="00B56D9A" w:rsidP="001719A7">
      <w:pPr>
        <w:pStyle w:val="paragraph"/>
        <w:spacing w:after="0"/>
        <w:jc w:val="both"/>
        <w:textAlignment w:val="baseline"/>
        <w:rPr>
          <w:b/>
          <w:color w:val="202227"/>
          <w:shd w:val="clear" w:color="auto" w:fill="FFFFFF"/>
        </w:rPr>
      </w:pPr>
      <w:r w:rsidRPr="00B56D9A">
        <w:rPr>
          <w:b/>
          <w:bCs/>
          <w:color w:val="202227"/>
          <w:sz w:val="28"/>
          <w:szCs w:val="28"/>
          <w:shd w:val="clear" w:color="auto" w:fill="FFFFFF"/>
        </w:rPr>
        <w:lastRenderedPageBreak/>
        <w:t>Brand names</w:t>
      </w:r>
      <w:r w:rsidRPr="00B56D9A">
        <w:rPr>
          <w:b/>
          <w:bCs/>
          <w:color w:val="202227"/>
          <w:shd w:val="clear" w:color="auto" w:fill="FFFFFF"/>
        </w:rPr>
        <w:t>:</w:t>
      </w:r>
      <w:r w:rsidRPr="00B56D9A">
        <w:rPr>
          <w:color w:val="202227"/>
          <w:shd w:val="clear" w:color="auto" w:fill="FFFFFF"/>
        </w:rPr>
        <w:t> </w:t>
      </w:r>
      <w:r w:rsidRPr="00B56D9A">
        <w:rPr>
          <w:shd w:val="clear" w:color="auto" w:fill="FFFFFF"/>
        </w:rPr>
        <w:t>Fosamax</w:t>
      </w:r>
      <w:r w:rsidRPr="00B56D9A">
        <w:rPr>
          <w:color w:val="202227"/>
          <w:shd w:val="clear" w:color="auto" w:fill="FFFFFF"/>
        </w:rPr>
        <w:t>, </w:t>
      </w:r>
      <w:r w:rsidRPr="00B56D9A">
        <w:rPr>
          <w:shd w:val="clear" w:color="auto" w:fill="FFFFFF"/>
        </w:rPr>
        <w:t>Binosto</w:t>
      </w:r>
    </w:p>
    <w:p w:rsidR="001719A7" w:rsidRPr="00351B58" w:rsidRDefault="001719A7" w:rsidP="001719A7">
      <w:pPr>
        <w:pStyle w:val="paragraph"/>
        <w:spacing w:after="0"/>
        <w:jc w:val="both"/>
        <w:textAlignment w:val="baseline"/>
        <w:rPr>
          <w:b/>
          <w:color w:val="202227"/>
          <w:sz w:val="32"/>
          <w:szCs w:val="32"/>
          <w:shd w:val="clear" w:color="auto" w:fill="FFFFFF"/>
        </w:rPr>
      </w:pPr>
      <w:r w:rsidRPr="00351B58">
        <w:rPr>
          <w:b/>
          <w:color w:val="202227"/>
          <w:sz w:val="32"/>
          <w:szCs w:val="32"/>
          <w:shd w:val="clear" w:color="auto" w:fill="FFFFFF"/>
        </w:rPr>
        <w:t>INDICATIONS AND DOSE</w:t>
      </w:r>
    </w:p>
    <w:p w:rsidR="001719A7" w:rsidRPr="001719A7" w:rsidRDefault="001719A7" w:rsidP="001719A7">
      <w:pPr>
        <w:pStyle w:val="paragraph"/>
        <w:spacing w:after="0"/>
        <w:jc w:val="both"/>
        <w:textAlignment w:val="baseline"/>
        <w:rPr>
          <w:b/>
          <w:color w:val="202227"/>
          <w:sz w:val="28"/>
          <w:szCs w:val="28"/>
          <w:shd w:val="clear" w:color="auto" w:fill="FFFFFF"/>
        </w:rPr>
      </w:pPr>
      <w:r w:rsidRPr="001719A7">
        <w:rPr>
          <w:b/>
          <w:color w:val="202227"/>
          <w:sz w:val="28"/>
          <w:szCs w:val="28"/>
          <w:shd w:val="clear" w:color="auto" w:fill="FFFFFF"/>
        </w:rPr>
        <w:t>Treatment of postmenopausal osteoporosis</w:t>
      </w:r>
    </w:p>
    <w:p w:rsidR="001719A7" w:rsidRPr="001719A7" w:rsidRDefault="001719A7" w:rsidP="001719A7">
      <w:pPr>
        <w:pStyle w:val="paragraph"/>
        <w:numPr>
          <w:ilvl w:val="0"/>
          <w:numId w:val="2"/>
        </w:numPr>
        <w:spacing w:after="0"/>
        <w:jc w:val="both"/>
        <w:textAlignment w:val="baseline"/>
        <w:rPr>
          <w:color w:val="202227"/>
          <w:shd w:val="clear" w:color="auto" w:fill="FFFFFF"/>
        </w:rPr>
      </w:pPr>
      <w:r w:rsidRPr="001719A7">
        <w:rPr>
          <w:color w:val="202227"/>
          <w:shd w:val="clear" w:color="auto" w:fill="FFFFFF"/>
        </w:rPr>
        <w:t>BY MOUTH</w:t>
      </w:r>
    </w:p>
    <w:p w:rsidR="001719A7" w:rsidRPr="001719A7" w:rsidRDefault="001719A7" w:rsidP="001719A7">
      <w:pPr>
        <w:pStyle w:val="paragraph"/>
        <w:numPr>
          <w:ilvl w:val="0"/>
          <w:numId w:val="2"/>
        </w:numPr>
        <w:spacing w:after="0"/>
        <w:jc w:val="both"/>
        <w:textAlignment w:val="baseline"/>
        <w:rPr>
          <w:color w:val="202227"/>
          <w:shd w:val="clear" w:color="auto" w:fill="FFFFFF"/>
        </w:rPr>
      </w:pPr>
      <w:r w:rsidRPr="001719A7">
        <w:rPr>
          <w:color w:val="202227"/>
          <w:shd w:val="clear" w:color="auto" w:fill="FFFFFF"/>
        </w:rPr>
        <w:t>Adult (female): 10 mg daily, alternatively 70 mg once weekly.</w:t>
      </w:r>
    </w:p>
    <w:p w:rsidR="001719A7" w:rsidRPr="001719A7" w:rsidRDefault="001719A7" w:rsidP="001719A7">
      <w:pPr>
        <w:pStyle w:val="paragraph"/>
        <w:spacing w:after="0"/>
        <w:jc w:val="both"/>
        <w:textAlignment w:val="baseline"/>
        <w:rPr>
          <w:b/>
          <w:color w:val="202227"/>
          <w:sz w:val="28"/>
          <w:szCs w:val="28"/>
          <w:shd w:val="clear" w:color="auto" w:fill="FFFFFF"/>
        </w:rPr>
      </w:pPr>
      <w:r w:rsidRPr="001719A7">
        <w:rPr>
          <w:b/>
          <w:color w:val="202227"/>
          <w:sz w:val="28"/>
          <w:szCs w:val="28"/>
          <w:shd w:val="clear" w:color="auto" w:fill="FFFFFF"/>
        </w:rPr>
        <w:t>Treatment of osteoporosis in men</w:t>
      </w:r>
    </w:p>
    <w:p w:rsidR="001719A7" w:rsidRPr="001719A7" w:rsidRDefault="001719A7" w:rsidP="001719A7">
      <w:pPr>
        <w:pStyle w:val="paragraph"/>
        <w:numPr>
          <w:ilvl w:val="0"/>
          <w:numId w:val="3"/>
        </w:numPr>
        <w:spacing w:after="0"/>
        <w:jc w:val="both"/>
        <w:textAlignment w:val="baseline"/>
        <w:rPr>
          <w:color w:val="202227"/>
          <w:shd w:val="clear" w:color="auto" w:fill="FFFFFF"/>
        </w:rPr>
      </w:pPr>
      <w:r w:rsidRPr="001719A7">
        <w:rPr>
          <w:color w:val="202227"/>
          <w:shd w:val="clear" w:color="auto" w:fill="FFFFFF"/>
        </w:rPr>
        <w:t>BY MOUTH</w:t>
      </w:r>
    </w:p>
    <w:p w:rsidR="001719A7" w:rsidRDefault="001719A7" w:rsidP="001719A7">
      <w:pPr>
        <w:pStyle w:val="paragraph"/>
        <w:numPr>
          <w:ilvl w:val="0"/>
          <w:numId w:val="3"/>
        </w:numPr>
        <w:spacing w:after="0"/>
        <w:jc w:val="both"/>
        <w:textAlignment w:val="baseline"/>
        <w:rPr>
          <w:color w:val="202227"/>
          <w:shd w:val="clear" w:color="auto" w:fill="FFFFFF"/>
        </w:rPr>
      </w:pPr>
      <w:r>
        <w:rPr>
          <w:color w:val="202227"/>
          <w:shd w:val="clear" w:color="auto" w:fill="FFFFFF"/>
        </w:rPr>
        <w:t>Adult (male): 10 mg daily.</w:t>
      </w:r>
    </w:p>
    <w:p w:rsidR="001719A7" w:rsidRPr="001719A7" w:rsidRDefault="00351B58" w:rsidP="001719A7">
      <w:pPr>
        <w:pStyle w:val="paragraph"/>
        <w:spacing w:after="0"/>
        <w:jc w:val="both"/>
        <w:textAlignment w:val="baseline"/>
        <w:rPr>
          <w:b/>
          <w:color w:val="202227"/>
          <w:sz w:val="28"/>
          <w:szCs w:val="28"/>
          <w:shd w:val="clear" w:color="auto" w:fill="FFFFFF"/>
        </w:rPr>
      </w:pPr>
      <w:r>
        <w:rPr>
          <w:b/>
          <w:color w:val="202227"/>
          <w:sz w:val="28"/>
          <w:szCs w:val="28"/>
          <w:shd w:val="clear" w:color="auto" w:fill="FFFFFF"/>
        </w:rPr>
        <w:t xml:space="preserve">Prevention and treatment of corticosteroid-induced </w:t>
      </w:r>
      <w:r w:rsidR="001719A7" w:rsidRPr="001719A7">
        <w:rPr>
          <w:b/>
          <w:color w:val="202227"/>
          <w:sz w:val="28"/>
          <w:szCs w:val="28"/>
          <w:shd w:val="clear" w:color="auto" w:fill="FFFFFF"/>
        </w:rPr>
        <w:t>osteoporo</w:t>
      </w:r>
      <w:r w:rsidR="001719A7" w:rsidRPr="001719A7">
        <w:rPr>
          <w:b/>
          <w:color w:val="202227"/>
          <w:sz w:val="28"/>
          <w:szCs w:val="28"/>
          <w:shd w:val="clear" w:color="auto" w:fill="FFFFFF"/>
        </w:rPr>
        <w:t xml:space="preserve">sis in postmenopausal women not </w:t>
      </w:r>
      <w:r w:rsidR="001719A7" w:rsidRPr="001719A7">
        <w:rPr>
          <w:b/>
          <w:color w:val="202227"/>
          <w:sz w:val="28"/>
          <w:szCs w:val="28"/>
          <w:shd w:val="clear" w:color="auto" w:fill="FFFFFF"/>
        </w:rPr>
        <w:t>receiving hormone replacement therapy</w:t>
      </w:r>
    </w:p>
    <w:p w:rsidR="001719A7" w:rsidRPr="00351B58" w:rsidRDefault="001719A7" w:rsidP="001719A7">
      <w:pPr>
        <w:pStyle w:val="paragraph"/>
        <w:numPr>
          <w:ilvl w:val="0"/>
          <w:numId w:val="4"/>
        </w:numPr>
        <w:spacing w:after="0"/>
        <w:jc w:val="both"/>
        <w:textAlignment w:val="baseline"/>
        <w:rPr>
          <w:color w:val="202227"/>
          <w:shd w:val="clear" w:color="auto" w:fill="FFFFFF"/>
        </w:rPr>
      </w:pPr>
      <w:r w:rsidRPr="00351B58">
        <w:rPr>
          <w:color w:val="202227"/>
          <w:shd w:val="clear" w:color="auto" w:fill="FFFFFF"/>
        </w:rPr>
        <w:t>BY MOUTH</w:t>
      </w:r>
    </w:p>
    <w:p w:rsidR="00410493" w:rsidRDefault="001719A7" w:rsidP="00410493">
      <w:pPr>
        <w:pStyle w:val="paragraph"/>
        <w:numPr>
          <w:ilvl w:val="0"/>
          <w:numId w:val="4"/>
        </w:numPr>
        <w:spacing w:before="0" w:beforeAutospacing="0" w:after="0" w:afterAutospacing="0"/>
        <w:jc w:val="both"/>
        <w:textAlignment w:val="baseline"/>
        <w:rPr>
          <w:color w:val="202227"/>
          <w:shd w:val="clear" w:color="auto" w:fill="FFFFFF"/>
        </w:rPr>
      </w:pPr>
      <w:r w:rsidRPr="001719A7">
        <w:rPr>
          <w:color w:val="202227"/>
          <w:shd w:val="clear" w:color="auto" w:fill="FFFFFF"/>
        </w:rPr>
        <w:t>Adult (female): 10 mg daily.</w:t>
      </w:r>
    </w:p>
    <w:p w:rsidR="00410493" w:rsidRDefault="00410493" w:rsidP="00410493">
      <w:pPr>
        <w:pStyle w:val="paragraph"/>
        <w:spacing w:before="0" w:beforeAutospacing="0" w:after="0" w:afterAutospacing="0"/>
        <w:jc w:val="both"/>
        <w:textAlignment w:val="baseline"/>
        <w:rPr>
          <w:rFonts w:asciiTheme="minorHAnsi" w:eastAsiaTheme="minorHAnsi" w:hAnsiTheme="minorHAnsi" w:cstheme="minorBidi"/>
          <w:sz w:val="22"/>
          <w:szCs w:val="22"/>
        </w:rPr>
      </w:pPr>
    </w:p>
    <w:p w:rsidR="005B17EA" w:rsidRDefault="0027691A" w:rsidP="00410493">
      <w:pPr>
        <w:pStyle w:val="paragraph"/>
        <w:spacing w:before="0" w:beforeAutospacing="0" w:after="0" w:afterAutospacing="0"/>
        <w:jc w:val="both"/>
        <w:textAlignment w:val="baseline"/>
        <w:rPr>
          <w:b/>
          <w:color w:val="202227"/>
          <w:sz w:val="32"/>
          <w:szCs w:val="32"/>
          <w:u w:val="single"/>
          <w:shd w:val="clear" w:color="auto" w:fill="FFFFFF"/>
        </w:rPr>
      </w:pPr>
      <w:r w:rsidRPr="0027691A">
        <w:rPr>
          <w:b/>
          <w:color w:val="202227"/>
          <w:sz w:val="32"/>
          <w:szCs w:val="32"/>
          <w:u w:val="single"/>
          <w:shd w:val="clear" w:color="auto" w:fill="FFFFFF"/>
        </w:rPr>
        <w:t>OFF LABEL USE:</w:t>
      </w:r>
    </w:p>
    <w:p w:rsidR="0027691A" w:rsidRPr="0027691A" w:rsidRDefault="0027691A" w:rsidP="0027691A">
      <w:pPr>
        <w:pStyle w:val="paragraph"/>
        <w:numPr>
          <w:ilvl w:val="0"/>
          <w:numId w:val="12"/>
        </w:numPr>
        <w:spacing w:after="0"/>
        <w:jc w:val="both"/>
        <w:textAlignment w:val="baseline"/>
        <w:rPr>
          <w:b/>
          <w:color w:val="202227"/>
          <w:shd w:val="clear" w:color="auto" w:fill="FFFFFF"/>
        </w:rPr>
      </w:pPr>
      <w:r w:rsidRPr="0027691A">
        <w:rPr>
          <w:b/>
          <w:color w:val="202227"/>
          <w:shd w:val="clear" w:color="auto" w:fill="FFFFFF"/>
        </w:rPr>
        <w:t>Osteogenesis Imperfecta</w:t>
      </w:r>
    </w:p>
    <w:p w:rsidR="0027691A" w:rsidRPr="0027691A" w:rsidRDefault="0027691A" w:rsidP="0027691A">
      <w:pPr>
        <w:pStyle w:val="paragraph"/>
        <w:spacing w:after="0"/>
        <w:jc w:val="both"/>
        <w:textAlignment w:val="baseline"/>
        <w:rPr>
          <w:color w:val="202227"/>
          <w:shd w:val="clear" w:color="auto" w:fill="FFFFFF"/>
        </w:rPr>
      </w:pPr>
      <w:r w:rsidRPr="0027691A">
        <w:rPr>
          <w:color w:val="202227"/>
          <w:shd w:val="clear" w:color="auto" w:fill="FFFFFF"/>
        </w:rPr>
        <w:t>Used to increase bone density and reduce fracture risk in both children and adults with this g</w:t>
      </w:r>
      <w:r>
        <w:rPr>
          <w:color w:val="202227"/>
          <w:shd w:val="clear" w:color="auto" w:fill="FFFFFF"/>
        </w:rPr>
        <w:t xml:space="preserve">enetic brittle-bone disorder.  </w:t>
      </w:r>
    </w:p>
    <w:p w:rsidR="0027691A" w:rsidRPr="0027691A" w:rsidRDefault="0027691A" w:rsidP="0027691A">
      <w:pPr>
        <w:pStyle w:val="paragraph"/>
        <w:numPr>
          <w:ilvl w:val="0"/>
          <w:numId w:val="13"/>
        </w:numPr>
        <w:spacing w:after="0"/>
        <w:jc w:val="both"/>
        <w:textAlignment w:val="baseline"/>
        <w:rPr>
          <w:b/>
          <w:color w:val="202227"/>
          <w:sz w:val="28"/>
          <w:szCs w:val="28"/>
          <w:shd w:val="clear" w:color="auto" w:fill="FFFFFF"/>
        </w:rPr>
      </w:pPr>
      <w:r w:rsidRPr="0027691A">
        <w:rPr>
          <w:b/>
          <w:color w:val="202227"/>
          <w:sz w:val="28"/>
          <w:szCs w:val="28"/>
          <w:shd w:val="clear" w:color="auto" w:fill="FFFFFF"/>
        </w:rPr>
        <w:t>Fibrous Dysplasia</w:t>
      </w:r>
    </w:p>
    <w:p w:rsidR="0027691A" w:rsidRDefault="0027691A" w:rsidP="0027691A">
      <w:pPr>
        <w:pStyle w:val="paragraph"/>
        <w:spacing w:after="0"/>
        <w:jc w:val="both"/>
        <w:textAlignment w:val="baseline"/>
        <w:rPr>
          <w:color w:val="202227"/>
          <w:shd w:val="clear" w:color="auto" w:fill="FFFFFF"/>
        </w:rPr>
      </w:pPr>
      <w:r w:rsidRPr="0027691A">
        <w:rPr>
          <w:color w:val="202227"/>
          <w:shd w:val="clear" w:color="auto" w:fill="FFFFFF"/>
        </w:rPr>
        <w:t>Employed to relieve bone pai</w:t>
      </w:r>
      <w:r>
        <w:rPr>
          <w:color w:val="202227"/>
          <w:shd w:val="clear" w:color="auto" w:fill="FFFFFF"/>
        </w:rPr>
        <w:t xml:space="preserve">n and help stabilize lesions.  </w:t>
      </w:r>
    </w:p>
    <w:p w:rsidR="0027691A" w:rsidRPr="0027691A" w:rsidRDefault="0027691A" w:rsidP="0027691A">
      <w:pPr>
        <w:pStyle w:val="paragraph"/>
        <w:numPr>
          <w:ilvl w:val="0"/>
          <w:numId w:val="14"/>
        </w:numPr>
        <w:spacing w:after="0"/>
        <w:jc w:val="both"/>
        <w:textAlignment w:val="baseline"/>
        <w:rPr>
          <w:color w:val="202227"/>
          <w:shd w:val="clear" w:color="auto" w:fill="FFFFFF"/>
        </w:rPr>
      </w:pPr>
      <w:r w:rsidRPr="0027691A">
        <w:rPr>
          <w:b/>
          <w:color w:val="202227"/>
          <w:sz w:val="28"/>
          <w:szCs w:val="28"/>
          <w:shd w:val="clear" w:color="auto" w:fill="FFFFFF"/>
        </w:rPr>
        <w:t>Comple</w:t>
      </w:r>
      <w:r w:rsidRPr="0027691A">
        <w:rPr>
          <w:b/>
          <w:color w:val="202227"/>
          <w:sz w:val="28"/>
          <w:szCs w:val="28"/>
          <w:shd w:val="clear" w:color="auto" w:fill="FFFFFF"/>
        </w:rPr>
        <w:t>x Regional Pain Syndrome (CRPS)</w:t>
      </w:r>
    </w:p>
    <w:p w:rsidR="0027691A" w:rsidRDefault="0027691A" w:rsidP="0027691A">
      <w:pPr>
        <w:pStyle w:val="paragraph"/>
        <w:spacing w:after="0"/>
        <w:jc w:val="both"/>
        <w:textAlignment w:val="baseline"/>
        <w:rPr>
          <w:color w:val="202227"/>
          <w:shd w:val="clear" w:color="auto" w:fill="FFFFFF"/>
        </w:rPr>
      </w:pPr>
      <w:r w:rsidRPr="0027691A">
        <w:rPr>
          <w:color w:val="202227"/>
          <w:shd w:val="clear" w:color="auto" w:fill="FFFFFF"/>
        </w:rPr>
        <w:t>Bisphosphonates like alendronate are among the few medications with positive placebo</w:t>
      </w:r>
      <w:r>
        <w:rPr>
          <w:color w:val="202227"/>
          <w:shd w:val="clear" w:color="auto" w:fill="FFFFFF"/>
        </w:rPr>
        <w:t xml:space="preserve">-controlled evidence in CRPS.  </w:t>
      </w:r>
    </w:p>
    <w:p w:rsidR="0027691A" w:rsidRPr="0027691A" w:rsidRDefault="0027691A" w:rsidP="0027691A">
      <w:pPr>
        <w:pStyle w:val="paragraph"/>
        <w:numPr>
          <w:ilvl w:val="0"/>
          <w:numId w:val="15"/>
        </w:numPr>
        <w:spacing w:after="0"/>
        <w:jc w:val="both"/>
        <w:textAlignment w:val="baseline"/>
        <w:rPr>
          <w:b/>
          <w:color w:val="202227"/>
          <w:sz w:val="28"/>
          <w:szCs w:val="28"/>
          <w:shd w:val="clear" w:color="auto" w:fill="FFFFFF"/>
        </w:rPr>
      </w:pPr>
      <w:r w:rsidRPr="0027691A">
        <w:rPr>
          <w:b/>
          <w:color w:val="202227"/>
          <w:sz w:val="28"/>
          <w:szCs w:val="28"/>
          <w:shd w:val="clear" w:color="auto" w:fill="FFFFFF"/>
        </w:rPr>
        <w:t>Bone Metastases &amp; Multiple Myeloma</w:t>
      </w:r>
    </w:p>
    <w:p w:rsidR="0027691A" w:rsidRPr="0027691A" w:rsidRDefault="0027691A" w:rsidP="0027691A">
      <w:pPr>
        <w:pStyle w:val="paragraph"/>
        <w:spacing w:after="0"/>
        <w:jc w:val="both"/>
        <w:textAlignment w:val="baseline"/>
        <w:rPr>
          <w:color w:val="202227"/>
          <w:shd w:val="clear" w:color="auto" w:fill="FFFFFF"/>
        </w:rPr>
      </w:pPr>
      <w:r w:rsidRPr="0027691A">
        <w:rPr>
          <w:color w:val="202227"/>
          <w:shd w:val="clear" w:color="auto" w:fill="FFFFFF"/>
        </w:rPr>
        <w:t xml:space="preserve">Though the specific FDA indication is for osteoporosis, alendronate is used off-label to reduce bone pain and fracture risk in cancers such as breast, lung, prostate metastases, and multiple myeloma.  </w:t>
      </w:r>
    </w:p>
    <w:p w:rsidR="0027691A" w:rsidRPr="0027691A" w:rsidRDefault="0027691A" w:rsidP="0027691A">
      <w:pPr>
        <w:pStyle w:val="paragraph"/>
        <w:numPr>
          <w:ilvl w:val="0"/>
          <w:numId w:val="16"/>
        </w:numPr>
        <w:spacing w:after="0"/>
        <w:jc w:val="both"/>
        <w:textAlignment w:val="baseline"/>
        <w:rPr>
          <w:b/>
          <w:color w:val="202227"/>
          <w:sz w:val="28"/>
          <w:szCs w:val="28"/>
          <w:shd w:val="clear" w:color="auto" w:fill="FFFFFF"/>
        </w:rPr>
      </w:pPr>
      <w:r w:rsidRPr="0027691A">
        <w:rPr>
          <w:b/>
          <w:color w:val="202227"/>
          <w:sz w:val="28"/>
          <w:szCs w:val="28"/>
          <w:shd w:val="clear" w:color="auto" w:fill="FFFFFF"/>
        </w:rPr>
        <w:t>Hypercalcemia of Malignancy</w:t>
      </w:r>
    </w:p>
    <w:p w:rsidR="0027691A" w:rsidRDefault="0027691A" w:rsidP="00410493">
      <w:pPr>
        <w:pStyle w:val="paragraph"/>
        <w:spacing w:before="0" w:beforeAutospacing="0" w:after="0" w:afterAutospacing="0"/>
        <w:jc w:val="both"/>
        <w:textAlignment w:val="baseline"/>
        <w:rPr>
          <w:color w:val="202227"/>
          <w:shd w:val="clear" w:color="auto" w:fill="FFFFFF"/>
        </w:rPr>
      </w:pPr>
      <w:r w:rsidRPr="0027691A">
        <w:rPr>
          <w:color w:val="202227"/>
          <w:shd w:val="clear" w:color="auto" w:fill="FFFFFF"/>
        </w:rPr>
        <w:lastRenderedPageBreak/>
        <w:t>While others like pamidronate/zoledronate are standard, alendronate has been used to lower elevated calcium due to cancer.</w:t>
      </w:r>
    </w:p>
    <w:p w:rsidR="00410493" w:rsidRPr="0027691A" w:rsidRDefault="00410493" w:rsidP="00410493">
      <w:pPr>
        <w:pStyle w:val="paragraph"/>
        <w:spacing w:before="0" w:beforeAutospacing="0" w:after="0" w:afterAutospacing="0"/>
        <w:jc w:val="both"/>
        <w:textAlignment w:val="baseline"/>
        <w:rPr>
          <w:color w:val="202227"/>
          <w:shd w:val="clear" w:color="auto" w:fill="FFFFFF"/>
        </w:rPr>
      </w:pPr>
      <w:r>
        <w:rPr>
          <w:b/>
          <w:color w:val="202227"/>
          <w:sz w:val="32"/>
          <w:szCs w:val="32"/>
          <w:u w:val="single"/>
          <w:shd w:val="clear" w:color="auto" w:fill="FFFFFF"/>
        </w:rPr>
        <w:t>KINETIC PROFILING</w:t>
      </w:r>
      <w:r w:rsidRPr="00410493">
        <w:rPr>
          <w:b/>
          <w:color w:val="202227"/>
          <w:sz w:val="32"/>
          <w:szCs w:val="32"/>
          <w:u w:val="single"/>
          <w:shd w:val="clear" w:color="auto" w:fill="FFFFFF"/>
        </w:rPr>
        <w:t>:</w:t>
      </w:r>
    </w:p>
    <w:p w:rsidR="003229D6" w:rsidRDefault="003229D6" w:rsidP="00690CC2">
      <w:pPr>
        <w:pStyle w:val="paragraph"/>
        <w:spacing w:before="0" w:beforeAutospacing="0" w:after="0" w:afterAutospacing="0"/>
        <w:jc w:val="both"/>
        <w:textAlignment w:val="baseline"/>
        <w:rPr>
          <w:color w:val="202227"/>
          <w:shd w:val="clear" w:color="auto" w:fill="FFFFFF"/>
        </w:rPr>
      </w:pPr>
    </w:p>
    <w:p w:rsidR="00410493" w:rsidRPr="00410493" w:rsidRDefault="00410493" w:rsidP="00410493">
      <w:pPr>
        <w:spacing w:after="0" w:line="240" w:lineRule="auto"/>
        <w:rPr>
          <w:rFonts w:ascii="Times New Roman" w:eastAsia="Times New Roman" w:hAnsi="Times New Roman" w:cs="Times New Roman"/>
          <w:color w:val="2A2A2A"/>
          <w:sz w:val="24"/>
          <w:szCs w:val="24"/>
        </w:rPr>
      </w:pPr>
      <w:r w:rsidRPr="00410493">
        <w:rPr>
          <w:rFonts w:ascii="Times New Roman" w:eastAsia="Times New Roman" w:hAnsi="Times New Roman" w:cs="Times New Roman"/>
          <w:color w:val="2A2A2A"/>
          <w:sz w:val="24"/>
          <w:szCs w:val="24"/>
        </w:rPr>
        <w:t>Bisphosphonate; binds to hydroxyapatite crystals in bone and inhibits osteoclast-mediated bone resorption; decreases mineral release and collagen or matrix breakdown in bone</w:t>
      </w:r>
    </w:p>
    <w:p w:rsidR="00410493" w:rsidRPr="00410493" w:rsidRDefault="00410493" w:rsidP="00410493">
      <w:pPr>
        <w:spacing w:before="150" w:after="150" w:line="240" w:lineRule="auto"/>
        <w:outlineLvl w:val="2"/>
        <w:rPr>
          <w:rFonts w:ascii="Times New Roman" w:eastAsia="Times New Roman" w:hAnsi="Times New Roman" w:cs="Times New Roman"/>
          <w:b/>
          <w:color w:val="2A2A2A"/>
          <w:sz w:val="28"/>
          <w:szCs w:val="28"/>
        </w:rPr>
      </w:pPr>
      <w:r w:rsidRPr="00410493">
        <w:rPr>
          <w:rFonts w:ascii="Times New Roman" w:eastAsia="Times New Roman" w:hAnsi="Times New Roman" w:cs="Times New Roman"/>
          <w:b/>
          <w:color w:val="2A2A2A"/>
          <w:sz w:val="28"/>
          <w:szCs w:val="28"/>
        </w:rPr>
        <w:t>Absorption</w:t>
      </w:r>
    </w:p>
    <w:p w:rsidR="00410493" w:rsidRPr="00964384" w:rsidRDefault="00410493" w:rsidP="00964384">
      <w:pPr>
        <w:pStyle w:val="ListParagraph"/>
        <w:numPr>
          <w:ilvl w:val="0"/>
          <w:numId w:val="5"/>
        </w:numPr>
        <w:spacing w:after="0" w:line="240" w:lineRule="auto"/>
        <w:rPr>
          <w:rFonts w:ascii="Times New Roman" w:eastAsia="Times New Roman" w:hAnsi="Times New Roman" w:cs="Times New Roman"/>
          <w:color w:val="2A2A2A"/>
          <w:sz w:val="24"/>
          <w:szCs w:val="24"/>
        </w:rPr>
      </w:pPr>
      <w:r w:rsidRPr="00964384">
        <w:rPr>
          <w:rFonts w:ascii="Times New Roman" w:eastAsia="Times New Roman" w:hAnsi="Times New Roman" w:cs="Times New Roman"/>
          <w:color w:val="2A2A2A"/>
          <w:sz w:val="24"/>
          <w:szCs w:val="24"/>
        </w:rPr>
        <w:t>Bioavailability (fasting): Women, 0.64%; men, 0.59%; reduced up to 60% by food</w:t>
      </w:r>
    </w:p>
    <w:p w:rsidR="00410493" w:rsidRPr="00964384" w:rsidRDefault="00410493" w:rsidP="00964384">
      <w:pPr>
        <w:pStyle w:val="ListParagraph"/>
        <w:numPr>
          <w:ilvl w:val="0"/>
          <w:numId w:val="5"/>
        </w:numPr>
        <w:spacing w:after="0" w:line="240" w:lineRule="auto"/>
        <w:rPr>
          <w:rFonts w:ascii="Times New Roman" w:eastAsia="Times New Roman" w:hAnsi="Times New Roman" w:cs="Times New Roman"/>
          <w:color w:val="2A2A2A"/>
          <w:sz w:val="24"/>
          <w:szCs w:val="24"/>
        </w:rPr>
      </w:pPr>
      <w:r w:rsidRPr="00964384">
        <w:rPr>
          <w:rFonts w:ascii="Times New Roman" w:eastAsia="Times New Roman" w:hAnsi="Times New Roman" w:cs="Times New Roman"/>
          <w:color w:val="2A2A2A"/>
          <w:sz w:val="24"/>
          <w:szCs w:val="24"/>
        </w:rPr>
        <w:t>Onset: 3 weeks</w:t>
      </w:r>
    </w:p>
    <w:p w:rsidR="00410493" w:rsidRPr="00964384" w:rsidRDefault="00410493" w:rsidP="00964384">
      <w:pPr>
        <w:pStyle w:val="ListParagraph"/>
        <w:numPr>
          <w:ilvl w:val="0"/>
          <w:numId w:val="5"/>
        </w:numPr>
        <w:spacing w:after="0" w:line="240" w:lineRule="auto"/>
        <w:rPr>
          <w:rFonts w:ascii="Times New Roman" w:eastAsia="Times New Roman" w:hAnsi="Times New Roman" w:cs="Times New Roman"/>
          <w:color w:val="2A2A2A"/>
          <w:sz w:val="24"/>
          <w:szCs w:val="24"/>
        </w:rPr>
      </w:pPr>
      <w:r w:rsidRPr="00964384">
        <w:rPr>
          <w:rFonts w:ascii="Times New Roman" w:eastAsia="Times New Roman" w:hAnsi="Times New Roman" w:cs="Times New Roman"/>
          <w:color w:val="2A2A2A"/>
          <w:sz w:val="24"/>
          <w:szCs w:val="24"/>
        </w:rPr>
        <w:t>Duration: 12-30 weeks (multiple doses)</w:t>
      </w:r>
    </w:p>
    <w:p w:rsidR="00410493" w:rsidRPr="00410493" w:rsidRDefault="00410493" w:rsidP="00410493">
      <w:pPr>
        <w:spacing w:before="150" w:after="150" w:line="240" w:lineRule="auto"/>
        <w:outlineLvl w:val="2"/>
        <w:rPr>
          <w:rFonts w:ascii="Times New Roman" w:eastAsia="Times New Roman" w:hAnsi="Times New Roman" w:cs="Times New Roman"/>
          <w:b/>
          <w:color w:val="2A2A2A"/>
          <w:sz w:val="28"/>
          <w:szCs w:val="28"/>
        </w:rPr>
      </w:pPr>
      <w:r w:rsidRPr="00410493">
        <w:rPr>
          <w:rFonts w:ascii="Times New Roman" w:eastAsia="Times New Roman" w:hAnsi="Times New Roman" w:cs="Times New Roman"/>
          <w:b/>
          <w:color w:val="2A2A2A"/>
          <w:sz w:val="28"/>
          <w:szCs w:val="28"/>
        </w:rPr>
        <w:t>Distribution</w:t>
      </w:r>
    </w:p>
    <w:p w:rsidR="00410493" w:rsidRPr="00964384" w:rsidRDefault="00410493" w:rsidP="00964384">
      <w:pPr>
        <w:pStyle w:val="ListParagraph"/>
        <w:numPr>
          <w:ilvl w:val="0"/>
          <w:numId w:val="6"/>
        </w:numPr>
        <w:spacing w:after="0" w:line="240" w:lineRule="auto"/>
        <w:rPr>
          <w:rFonts w:ascii="Times New Roman" w:eastAsia="Times New Roman" w:hAnsi="Times New Roman" w:cs="Times New Roman"/>
          <w:color w:val="2A2A2A"/>
          <w:sz w:val="24"/>
          <w:szCs w:val="24"/>
        </w:rPr>
      </w:pPr>
      <w:r w:rsidRPr="00964384">
        <w:rPr>
          <w:rFonts w:ascii="Times New Roman" w:eastAsia="Times New Roman" w:hAnsi="Times New Roman" w:cs="Times New Roman"/>
          <w:color w:val="2A2A2A"/>
          <w:sz w:val="24"/>
          <w:szCs w:val="24"/>
        </w:rPr>
        <w:t>Protein bound: 78%</w:t>
      </w:r>
    </w:p>
    <w:p w:rsidR="00410493" w:rsidRPr="00964384" w:rsidRDefault="00964384" w:rsidP="00964384">
      <w:pPr>
        <w:pStyle w:val="ListParagraph"/>
        <w:numPr>
          <w:ilvl w:val="0"/>
          <w:numId w:val="6"/>
        </w:numPr>
        <w:spacing w:after="0" w:line="240" w:lineRule="auto"/>
        <w:rPr>
          <w:rFonts w:ascii="Times New Roman" w:eastAsia="Times New Roman" w:hAnsi="Times New Roman" w:cs="Times New Roman"/>
          <w:color w:val="2A2A2A"/>
          <w:sz w:val="24"/>
          <w:szCs w:val="24"/>
        </w:rPr>
      </w:pPr>
      <w:r w:rsidRPr="00964384">
        <w:rPr>
          <w:rFonts w:ascii="Times New Roman" w:eastAsia="Times New Roman" w:hAnsi="Times New Roman" w:cs="Times New Roman"/>
          <w:color w:val="2A2A2A"/>
          <w:sz w:val="24"/>
          <w:szCs w:val="24"/>
        </w:rPr>
        <w:t>Vd</w:t>
      </w:r>
      <w:r w:rsidR="00410493" w:rsidRPr="00964384">
        <w:rPr>
          <w:rFonts w:ascii="Times New Roman" w:eastAsia="Times New Roman" w:hAnsi="Times New Roman" w:cs="Times New Roman"/>
          <w:color w:val="2A2A2A"/>
          <w:sz w:val="24"/>
          <w:szCs w:val="24"/>
        </w:rPr>
        <w:t xml:space="preserve"> 28 L (exclusive of bone)</w:t>
      </w:r>
    </w:p>
    <w:p w:rsidR="00410493" w:rsidRPr="00410493" w:rsidRDefault="00410493" w:rsidP="00410493">
      <w:pPr>
        <w:spacing w:before="150" w:after="150" w:line="240" w:lineRule="auto"/>
        <w:outlineLvl w:val="2"/>
        <w:rPr>
          <w:rFonts w:ascii="Times New Roman" w:eastAsia="Times New Roman" w:hAnsi="Times New Roman" w:cs="Times New Roman"/>
          <w:b/>
          <w:color w:val="2A2A2A"/>
          <w:sz w:val="28"/>
          <w:szCs w:val="28"/>
        </w:rPr>
      </w:pPr>
      <w:r w:rsidRPr="00410493">
        <w:rPr>
          <w:rFonts w:ascii="Times New Roman" w:eastAsia="Times New Roman" w:hAnsi="Times New Roman" w:cs="Times New Roman"/>
          <w:b/>
          <w:color w:val="2A2A2A"/>
          <w:sz w:val="28"/>
          <w:szCs w:val="28"/>
        </w:rPr>
        <w:t>Metabolism</w:t>
      </w:r>
    </w:p>
    <w:p w:rsidR="00410493" w:rsidRPr="00964384" w:rsidRDefault="00410493" w:rsidP="00964384">
      <w:pPr>
        <w:pStyle w:val="ListParagraph"/>
        <w:numPr>
          <w:ilvl w:val="0"/>
          <w:numId w:val="7"/>
        </w:numPr>
        <w:spacing w:after="0" w:line="240" w:lineRule="auto"/>
        <w:rPr>
          <w:rFonts w:ascii="Times New Roman" w:eastAsia="Times New Roman" w:hAnsi="Times New Roman" w:cs="Times New Roman"/>
          <w:color w:val="2A2A2A"/>
          <w:sz w:val="24"/>
          <w:szCs w:val="24"/>
        </w:rPr>
      </w:pPr>
      <w:r w:rsidRPr="00964384">
        <w:rPr>
          <w:rFonts w:ascii="Times New Roman" w:eastAsia="Times New Roman" w:hAnsi="Times New Roman" w:cs="Times New Roman"/>
          <w:color w:val="2A2A2A"/>
          <w:sz w:val="24"/>
          <w:szCs w:val="24"/>
        </w:rPr>
        <w:t>Not metabolized</w:t>
      </w:r>
    </w:p>
    <w:p w:rsidR="00410493" w:rsidRPr="00410493" w:rsidRDefault="00410493" w:rsidP="00410493">
      <w:pPr>
        <w:spacing w:before="150" w:after="150" w:line="240" w:lineRule="auto"/>
        <w:outlineLvl w:val="2"/>
        <w:rPr>
          <w:rFonts w:ascii="Times New Roman" w:eastAsia="Times New Roman" w:hAnsi="Times New Roman" w:cs="Times New Roman"/>
          <w:b/>
          <w:color w:val="2A2A2A"/>
          <w:sz w:val="28"/>
          <w:szCs w:val="28"/>
        </w:rPr>
      </w:pPr>
      <w:r w:rsidRPr="00410493">
        <w:rPr>
          <w:rFonts w:ascii="Times New Roman" w:eastAsia="Times New Roman" w:hAnsi="Times New Roman" w:cs="Times New Roman"/>
          <w:b/>
          <w:color w:val="2A2A2A"/>
          <w:sz w:val="28"/>
          <w:szCs w:val="28"/>
        </w:rPr>
        <w:t>Elimination</w:t>
      </w:r>
    </w:p>
    <w:p w:rsidR="00410493" w:rsidRPr="00964384" w:rsidRDefault="00410493" w:rsidP="00964384">
      <w:pPr>
        <w:pStyle w:val="ListParagraph"/>
        <w:numPr>
          <w:ilvl w:val="0"/>
          <w:numId w:val="7"/>
        </w:numPr>
        <w:spacing w:after="0" w:line="240" w:lineRule="auto"/>
        <w:rPr>
          <w:rFonts w:ascii="Times New Roman" w:eastAsia="Times New Roman" w:hAnsi="Times New Roman" w:cs="Times New Roman"/>
          <w:color w:val="2A2A2A"/>
          <w:sz w:val="24"/>
          <w:szCs w:val="24"/>
        </w:rPr>
      </w:pPr>
      <w:r w:rsidRPr="00964384">
        <w:rPr>
          <w:rFonts w:ascii="Times New Roman" w:eastAsia="Times New Roman" w:hAnsi="Times New Roman" w:cs="Times New Roman"/>
          <w:color w:val="2A2A2A"/>
          <w:sz w:val="24"/>
          <w:szCs w:val="24"/>
        </w:rPr>
        <w:t>Half-life: Up to 10 years in bone (terminal)</w:t>
      </w:r>
    </w:p>
    <w:p w:rsidR="00410493" w:rsidRDefault="00410493" w:rsidP="00964384">
      <w:pPr>
        <w:pStyle w:val="ListParagraph"/>
        <w:numPr>
          <w:ilvl w:val="0"/>
          <w:numId w:val="7"/>
        </w:numPr>
        <w:spacing w:after="0" w:line="240" w:lineRule="auto"/>
        <w:rPr>
          <w:rFonts w:ascii="Times New Roman" w:eastAsia="Times New Roman" w:hAnsi="Times New Roman" w:cs="Times New Roman"/>
          <w:color w:val="2A2A2A"/>
          <w:sz w:val="24"/>
          <w:szCs w:val="24"/>
        </w:rPr>
      </w:pPr>
      <w:r w:rsidRPr="00964384">
        <w:rPr>
          <w:rFonts w:ascii="Times New Roman" w:eastAsia="Times New Roman" w:hAnsi="Times New Roman" w:cs="Times New Roman"/>
          <w:color w:val="2A2A2A"/>
          <w:sz w:val="24"/>
          <w:szCs w:val="24"/>
        </w:rPr>
        <w:t>Excretion: Urine 50%, feces (unabsorbed drug)</w:t>
      </w:r>
    </w:p>
    <w:p w:rsidR="00600240" w:rsidRDefault="00600240" w:rsidP="00964384">
      <w:pPr>
        <w:spacing w:after="0" w:line="240" w:lineRule="auto"/>
        <w:rPr>
          <w:rFonts w:ascii="Times New Roman" w:eastAsia="Times New Roman" w:hAnsi="Times New Roman" w:cs="Times New Roman"/>
          <w:b/>
          <w:color w:val="2A2A2A"/>
          <w:sz w:val="32"/>
          <w:szCs w:val="32"/>
          <w:u w:val="single"/>
        </w:rPr>
      </w:pPr>
    </w:p>
    <w:p w:rsidR="003229D6" w:rsidRPr="00964384" w:rsidRDefault="00964384" w:rsidP="00964384">
      <w:pPr>
        <w:spacing w:after="0" w:line="240" w:lineRule="auto"/>
        <w:rPr>
          <w:rFonts w:ascii="Times New Roman" w:eastAsia="Times New Roman" w:hAnsi="Times New Roman" w:cs="Times New Roman"/>
          <w:b/>
          <w:color w:val="2A2A2A"/>
          <w:sz w:val="32"/>
          <w:szCs w:val="32"/>
          <w:u w:val="single"/>
        </w:rPr>
      </w:pPr>
      <w:r w:rsidRPr="00964384">
        <w:rPr>
          <w:rFonts w:ascii="Times New Roman" w:eastAsia="Times New Roman" w:hAnsi="Times New Roman" w:cs="Times New Roman"/>
          <w:b/>
          <w:color w:val="2A2A2A"/>
          <w:sz w:val="32"/>
          <w:szCs w:val="32"/>
          <w:u w:val="single"/>
        </w:rPr>
        <w:t>DRUG INTER</w:t>
      </w:r>
      <w:r w:rsidRPr="00964384">
        <w:rPr>
          <w:rFonts w:ascii="Times New Roman" w:eastAsia="Times New Roman" w:hAnsi="Times New Roman" w:cs="Times New Roman"/>
          <w:b/>
          <w:color w:val="2A2A2A"/>
          <w:sz w:val="32"/>
          <w:szCs w:val="32"/>
          <w:u w:val="single"/>
        </w:rPr>
        <w:t>ACTIONS</w:t>
      </w:r>
      <w:r>
        <w:rPr>
          <w:rFonts w:ascii="Times New Roman" w:eastAsia="Times New Roman" w:hAnsi="Times New Roman" w:cs="Times New Roman"/>
          <w:b/>
          <w:color w:val="2A2A2A"/>
          <w:sz w:val="32"/>
          <w:szCs w:val="32"/>
          <w:u w:val="single"/>
        </w:rPr>
        <w:t>:</w:t>
      </w:r>
    </w:p>
    <w:p w:rsidR="00964384" w:rsidRDefault="00964384" w:rsidP="00AA724E">
      <w:pPr>
        <w:pStyle w:val="paragraph"/>
        <w:spacing w:before="0" w:beforeAutospacing="0" w:after="0" w:afterAutospacing="0"/>
        <w:jc w:val="both"/>
        <w:textAlignment w:val="baseline"/>
        <w:rPr>
          <w:rFonts w:ascii="Arial" w:hAnsi="Arial" w:cs="Segoe UI"/>
          <w:color w:val="202227"/>
          <w:sz w:val="22"/>
          <w:szCs w:val="22"/>
        </w:rPr>
      </w:pPr>
    </w:p>
    <w:p w:rsidR="00964384" w:rsidRPr="00964384" w:rsidRDefault="00964384" w:rsidP="00964384">
      <w:pPr>
        <w:pStyle w:val="Heading3"/>
        <w:shd w:val="clear" w:color="auto" w:fill="FFFFFF"/>
        <w:spacing w:before="300" w:beforeAutospacing="0" w:after="180" w:afterAutospacing="0"/>
        <w:rPr>
          <w:color w:val="202227"/>
          <w:spacing w:val="-2"/>
          <w:sz w:val="28"/>
          <w:szCs w:val="28"/>
        </w:rPr>
      </w:pPr>
      <w:r w:rsidRPr="00964384">
        <w:rPr>
          <w:color w:val="202227"/>
          <w:spacing w:val="-2"/>
          <w:sz w:val="28"/>
          <w:szCs w:val="28"/>
        </w:rPr>
        <w:t>Antacids or Mineral Supplements Containing Divalent Cations</w:t>
      </w:r>
    </w:p>
    <w:p w:rsidR="00964384" w:rsidRPr="00964384" w:rsidRDefault="00964384" w:rsidP="00964384">
      <w:pPr>
        <w:pStyle w:val="NormalWeb"/>
        <w:shd w:val="clear" w:color="auto" w:fill="FFFFFF"/>
        <w:spacing w:before="180" w:beforeAutospacing="0" w:after="300" w:afterAutospacing="0"/>
        <w:rPr>
          <w:color w:val="202227"/>
        </w:rPr>
      </w:pPr>
      <w:r w:rsidRPr="00964384">
        <w:rPr>
          <w:color w:val="202227"/>
        </w:rPr>
        <w:t>Potential decreased alendronate absorption when administered with antacids, mineral supplements, or oral drugs containing multivalent cations (e.g., calcium).</w:t>
      </w:r>
    </w:p>
    <w:p w:rsidR="00964384" w:rsidRPr="00964384" w:rsidRDefault="00964384" w:rsidP="00964384">
      <w:pPr>
        <w:pStyle w:val="Heading3"/>
        <w:shd w:val="clear" w:color="auto" w:fill="FFFFFF"/>
        <w:spacing w:before="480" w:beforeAutospacing="0" w:after="180" w:afterAutospacing="0"/>
        <w:rPr>
          <w:color w:val="202227"/>
          <w:spacing w:val="-2"/>
          <w:sz w:val="28"/>
          <w:szCs w:val="28"/>
        </w:rPr>
      </w:pPr>
      <w:r w:rsidRPr="00964384">
        <w:rPr>
          <w:color w:val="202227"/>
          <w:spacing w:val="-2"/>
          <w:sz w:val="28"/>
          <w:szCs w:val="28"/>
        </w:rPr>
        <w:t>Other Oral Medications</w:t>
      </w:r>
    </w:p>
    <w:p w:rsidR="00964384" w:rsidRPr="00964384" w:rsidRDefault="00964384" w:rsidP="00964384">
      <w:pPr>
        <w:pStyle w:val="NormalWeb"/>
        <w:shd w:val="clear" w:color="auto" w:fill="FFFFFF"/>
        <w:spacing w:before="180" w:beforeAutospacing="0" w:after="300" w:afterAutospacing="0"/>
        <w:rPr>
          <w:color w:val="202227"/>
        </w:rPr>
      </w:pPr>
      <w:r w:rsidRPr="00964384">
        <w:rPr>
          <w:color w:val="202227"/>
        </w:rPr>
        <w:t>Potential decreased alendronate absorption when administered concomitantly with other oral medications. Administer alendronate ≥30 minutes prior to other oral medications</w:t>
      </w:r>
    </w:p>
    <w:p w:rsidR="00AA724E" w:rsidRPr="00AA724E" w:rsidRDefault="00AA724E" w:rsidP="00AA724E">
      <w:pPr>
        <w:pStyle w:val="paragraph"/>
        <w:spacing w:before="0" w:beforeAutospacing="0" w:after="0" w:afterAutospacing="0"/>
        <w:jc w:val="both"/>
        <w:textAlignment w:val="baseline"/>
        <w:rPr>
          <w:rStyle w:val="eop"/>
          <w:color w:val="202122"/>
        </w:rPr>
      </w:pPr>
      <w:r>
        <w:rPr>
          <w:rFonts w:ascii="Arial" w:hAnsi="Arial" w:cs="Segoe UI"/>
          <w:color w:val="202227"/>
          <w:sz w:val="22"/>
          <w:szCs w:val="22"/>
        </w:rPr>
        <w:br/>
      </w:r>
      <w:r>
        <w:rPr>
          <w:rStyle w:val="normaltextrun"/>
          <w:color w:val="202227"/>
          <w:lang w:val="en-GB"/>
        </w:rPr>
        <w:t xml:space="preserve"> </w:t>
      </w:r>
    </w:p>
    <w:tbl>
      <w:tblPr>
        <w:tblStyle w:val="GridTable6Colorful-Accent3"/>
        <w:tblW w:w="0" w:type="auto"/>
        <w:tblLook w:val="04A0" w:firstRow="1" w:lastRow="0" w:firstColumn="1" w:lastColumn="0" w:noHBand="0" w:noVBand="1"/>
      </w:tblPr>
      <w:tblGrid>
        <w:gridCol w:w="3092"/>
        <w:gridCol w:w="3090"/>
        <w:gridCol w:w="3088"/>
      </w:tblGrid>
      <w:tr w:rsidR="00EC17D7" w:rsidTr="006002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thinThickSmallGap" w:sz="24" w:space="0" w:color="auto"/>
              <w:left w:val="thinThickSmallGap" w:sz="24" w:space="0" w:color="auto"/>
            </w:tcBorders>
          </w:tcPr>
          <w:p w:rsidR="00EC17D7" w:rsidRPr="00EC17D7" w:rsidRDefault="00EC17D7" w:rsidP="00AA724E">
            <w:pPr>
              <w:pStyle w:val="paragraph"/>
              <w:spacing w:before="0" w:beforeAutospacing="0" w:after="0" w:afterAutospacing="0"/>
              <w:jc w:val="both"/>
              <w:textAlignment w:val="baseline"/>
              <w:rPr>
                <w:bCs w:val="0"/>
                <w:color w:val="202227"/>
                <w:sz w:val="28"/>
                <w:szCs w:val="28"/>
                <w:lang w:val="en-GB"/>
              </w:rPr>
            </w:pPr>
            <w:r w:rsidRPr="00EC17D7">
              <w:rPr>
                <w:bCs w:val="0"/>
                <w:color w:val="202227"/>
                <w:sz w:val="28"/>
                <w:szCs w:val="28"/>
                <w:shd w:val="clear" w:color="auto" w:fill="F7F8F9"/>
              </w:rPr>
              <w:t>Drug</w:t>
            </w:r>
          </w:p>
        </w:tc>
        <w:tc>
          <w:tcPr>
            <w:tcW w:w="3117" w:type="dxa"/>
            <w:tcBorders>
              <w:top w:val="thinThickSmallGap" w:sz="24" w:space="0" w:color="auto"/>
            </w:tcBorders>
          </w:tcPr>
          <w:p w:rsidR="00EC17D7" w:rsidRDefault="00EC17D7" w:rsidP="00EC17D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202227"/>
                <w:sz w:val="23"/>
                <w:szCs w:val="23"/>
              </w:rPr>
            </w:pPr>
            <w:r>
              <w:rPr>
                <w:rFonts w:ascii="Arial" w:hAnsi="Arial" w:cs="Arial"/>
                <w:b w:val="0"/>
                <w:bCs w:val="0"/>
                <w:color w:val="202227"/>
                <w:sz w:val="23"/>
                <w:szCs w:val="23"/>
              </w:rPr>
              <w:t>Interaction</w:t>
            </w:r>
          </w:p>
          <w:p w:rsidR="00EC17D7" w:rsidRDefault="00EC17D7" w:rsidP="00AA724E">
            <w:pPr>
              <w:pStyle w:val="paragraph"/>
              <w:spacing w:before="0" w:beforeAutospacing="0" w:after="0" w:afterAutospacing="0"/>
              <w:jc w:val="both"/>
              <w:textAlignment w:val="baseline"/>
              <w:cnfStyle w:val="100000000000" w:firstRow="1" w:lastRow="0" w:firstColumn="0" w:lastColumn="0" w:oddVBand="0" w:evenVBand="0" w:oddHBand="0" w:evenHBand="0" w:firstRowFirstColumn="0" w:firstRowLastColumn="0" w:lastRowFirstColumn="0" w:lastRowLastColumn="0"/>
              <w:rPr>
                <w:b w:val="0"/>
                <w:bCs w:val="0"/>
                <w:color w:val="202227"/>
                <w:sz w:val="28"/>
                <w:szCs w:val="28"/>
                <w:lang w:val="en-GB"/>
              </w:rPr>
            </w:pPr>
          </w:p>
        </w:tc>
        <w:tc>
          <w:tcPr>
            <w:tcW w:w="3117" w:type="dxa"/>
            <w:tcBorders>
              <w:top w:val="thinThickSmallGap" w:sz="24" w:space="0" w:color="auto"/>
              <w:right w:val="thickThinSmallGap" w:sz="24" w:space="0" w:color="auto"/>
            </w:tcBorders>
          </w:tcPr>
          <w:p w:rsidR="00EC17D7" w:rsidRDefault="00EC17D7" w:rsidP="00AA724E">
            <w:pPr>
              <w:pStyle w:val="paragraph"/>
              <w:spacing w:before="0" w:beforeAutospacing="0" w:after="0" w:afterAutospacing="0"/>
              <w:jc w:val="both"/>
              <w:textAlignment w:val="baseline"/>
              <w:cnfStyle w:val="100000000000" w:firstRow="1" w:lastRow="0" w:firstColumn="0" w:lastColumn="0" w:oddVBand="0" w:evenVBand="0" w:oddHBand="0" w:evenHBand="0" w:firstRowFirstColumn="0" w:firstRowLastColumn="0" w:lastRowFirstColumn="0" w:lastRowLastColumn="0"/>
              <w:rPr>
                <w:b w:val="0"/>
                <w:bCs w:val="0"/>
                <w:color w:val="202227"/>
                <w:sz w:val="28"/>
                <w:szCs w:val="28"/>
                <w:lang w:val="en-GB"/>
              </w:rPr>
            </w:pPr>
            <w:r>
              <w:rPr>
                <w:b w:val="0"/>
                <w:bCs w:val="0"/>
                <w:color w:val="202227"/>
                <w:sz w:val="28"/>
                <w:szCs w:val="28"/>
                <w:lang w:val="en-GB"/>
              </w:rPr>
              <w:t>Comments</w:t>
            </w:r>
          </w:p>
        </w:tc>
      </w:tr>
      <w:tr w:rsidR="00EC17D7" w:rsidTr="00600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left w:val="thinThickSmallGap" w:sz="24" w:space="0" w:color="auto"/>
            </w:tcBorders>
          </w:tcPr>
          <w:p w:rsidR="00EC17D7" w:rsidRPr="00EC17D7" w:rsidRDefault="00EC17D7" w:rsidP="00AA724E">
            <w:pPr>
              <w:pStyle w:val="paragraph"/>
              <w:spacing w:before="0" w:beforeAutospacing="0" w:after="0" w:afterAutospacing="0"/>
              <w:jc w:val="both"/>
              <w:textAlignment w:val="baseline"/>
              <w:rPr>
                <w:b w:val="0"/>
                <w:bCs w:val="0"/>
                <w:color w:val="202227"/>
                <w:sz w:val="28"/>
                <w:szCs w:val="28"/>
                <w:lang w:val="en-GB"/>
              </w:rPr>
            </w:pPr>
            <w:r w:rsidRPr="00EC17D7">
              <w:rPr>
                <w:rFonts w:ascii="Arial" w:hAnsi="Arial" w:cs="Arial"/>
                <w:b w:val="0"/>
                <w:color w:val="202227"/>
                <w:sz w:val="23"/>
                <w:szCs w:val="23"/>
                <w:shd w:val="clear" w:color="auto" w:fill="FFFFFF"/>
              </w:rPr>
              <w:t>Antacids (calcium)</w:t>
            </w:r>
          </w:p>
        </w:tc>
        <w:tc>
          <w:tcPr>
            <w:tcW w:w="3117" w:type="dxa"/>
          </w:tcPr>
          <w:p w:rsidR="00EC17D7" w:rsidRPr="00EC17D7" w:rsidRDefault="00EC17D7" w:rsidP="00600240">
            <w:pPr>
              <w:cnfStyle w:val="000000100000" w:firstRow="0" w:lastRow="0" w:firstColumn="0" w:lastColumn="0" w:oddVBand="0" w:evenVBand="0" w:oddHBand="1" w:evenHBand="0" w:firstRowFirstColumn="0" w:firstRowLastColumn="0" w:lastRowFirstColumn="0" w:lastRowLastColumn="0"/>
              <w:rPr>
                <w:shd w:val="clear" w:color="auto" w:fill="FFFFFF"/>
              </w:rPr>
            </w:pPr>
            <w:r>
              <w:rPr>
                <w:shd w:val="clear" w:color="auto" w:fill="FFFFFF"/>
              </w:rPr>
              <w:t>May interfere</w:t>
            </w:r>
            <w:r w:rsidR="00600240">
              <w:rPr>
                <w:shd w:val="clear" w:color="auto" w:fill="FFFFFF"/>
              </w:rPr>
              <w:t xml:space="preserve"> </w:t>
            </w:r>
            <w:r>
              <w:rPr>
                <w:shd w:val="clear" w:color="auto" w:fill="FFFFFF"/>
              </w:rPr>
              <w:t xml:space="preserve">with absorption of alendronate  </w:t>
            </w:r>
          </w:p>
        </w:tc>
        <w:tc>
          <w:tcPr>
            <w:tcW w:w="3117" w:type="dxa"/>
            <w:tcBorders>
              <w:right w:val="thickThinSmallGap" w:sz="24" w:space="0" w:color="auto"/>
            </w:tcBorders>
          </w:tcPr>
          <w:p w:rsidR="00EC17D7" w:rsidRDefault="00600240" w:rsidP="00600240">
            <w:pPr>
              <w:cnfStyle w:val="000000100000" w:firstRow="0" w:lastRow="0" w:firstColumn="0" w:lastColumn="0" w:oddVBand="0" w:evenVBand="0" w:oddHBand="1" w:evenHBand="0" w:firstRowFirstColumn="0" w:firstRowLastColumn="0" w:lastRowFirstColumn="0" w:lastRowLastColumn="0"/>
              <w:rPr>
                <w:b/>
                <w:bCs/>
                <w:sz w:val="28"/>
                <w:szCs w:val="28"/>
                <w:lang w:val="en-GB"/>
              </w:rPr>
            </w:pPr>
            <w:r>
              <w:rPr>
                <w:shd w:val="clear" w:color="auto" w:fill="FFFFFF"/>
              </w:rPr>
              <w:t>Wait ≥30 minutes after taking alendronate before taking any other oral medications</w:t>
            </w:r>
          </w:p>
        </w:tc>
      </w:tr>
      <w:tr w:rsidR="00EC17D7" w:rsidTr="00600240">
        <w:tc>
          <w:tcPr>
            <w:cnfStyle w:val="001000000000" w:firstRow="0" w:lastRow="0" w:firstColumn="1" w:lastColumn="0" w:oddVBand="0" w:evenVBand="0" w:oddHBand="0" w:evenHBand="0" w:firstRowFirstColumn="0" w:firstRowLastColumn="0" w:lastRowFirstColumn="0" w:lastRowLastColumn="0"/>
            <w:tcW w:w="3116" w:type="dxa"/>
            <w:tcBorders>
              <w:left w:val="thinThickSmallGap" w:sz="24" w:space="0" w:color="auto"/>
            </w:tcBorders>
          </w:tcPr>
          <w:p w:rsidR="00EC17D7" w:rsidRDefault="00EC17D7" w:rsidP="00AA724E">
            <w:pPr>
              <w:pStyle w:val="paragraph"/>
              <w:spacing w:before="0" w:beforeAutospacing="0" w:after="0" w:afterAutospacing="0"/>
              <w:jc w:val="both"/>
              <w:textAlignment w:val="baseline"/>
              <w:rPr>
                <w:b w:val="0"/>
                <w:bCs w:val="0"/>
                <w:color w:val="202227"/>
                <w:sz w:val="28"/>
                <w:szCs w:val="28"/>
                <w:lang w:val="en-GB"/>
              </w:rPr>
            </w:pPr>
            <w:r>
              <w:rPr>
                <w:rFonts w:ascii="Arial" w:hAnsi="Arial" w:cs="Arial"/>
                <w:color w:val="202227"/>
                <w:sz w:val="23"/>
                <w:szCs w:val="23"/>
                <w:shd w:val="clear" w:color="auto" w:fill="FFFFFF"/>
              </w:rPr>
              <w:lastRenderedPageBreak/>
              <w:t>NSAIAs (e.g., aspirin)</w:t>
            </w:r>
          </w:p>
        </w:tc>
        <w:tc>
          <w:tcPr>
            <w:tcW w:w="3117" w:type="dxa"/>
          </w:tcPr>
          <w:p w:rsidR="00EC17D7" w:rsidRDefault="00EC17D7" w:rsidP="00600240">
            <w:pPr>
              <w:cnfStyle w:val="000000000000" w:firstRow="0" w:lastRow="0" w:firstColumn="0" w:lastColumn="0" w:oddVBand="0" w:evenVBand="0" w:oddHBand="0" w:evenHBand="0" w:firstRowFirstColumn="0" w:firstRowLastColumn="0" w:lastRowFirstColumn="0" w:lastRowLastColumn="0"/>
              <w:rPr>
                <w:lang w:val="en-GB"/>
              </w:rPr>
            </w:pPr>
            <w:r>
              <w:rPr>
                <w:lang w:val="en-GB"/>
              </w:rPr>
              <w:t>Potential increased GI toxicity</w:t>
            </w:r>
          </w:p>
        </w:tc>
        <w:tc>
          <w:tcPr>
            <w:tcW w:w="3117" w:type="dxa"/>
            <w:tcBorders>
              <w:right w:val="thickThinSmallGap" w:sz="24" w:space="0" w:color="auto"/>
            </w:tcBorders>
          </w:tcPr>
          <w:p w:rsidR="00EC17D7" w:rsidRDefault="00600240" w:rsidP="00600240">
            <w:pPr>
              <w:cnfStyle w:val="000000000000" w:firstRow="0" w:lastRow="0" w:firstColumn="0" w:lastColumn="0" w:oddVBand="0" w:evenVBand="0" w:oddHBand="0" w:evenHBand="0" w:firstRowFirstColumn="0" w:firstRowLastColumn="0" w:lastRowFirstColumn="0" w:lastRowLastColumn="0"/>
              <w:rPr>
                <w:b/>
                <w:bCs/>
                <w:sz w:val="28"/>
                <w:szCs w:val="28"/>
                <w:lang w:val="en-GB"/>
              </w:rPr>
            </w:pPr>
            <w:r>
              <w:rPr>
                <w:shd w:val="clear" w:color="auto" w:fill="FFFFFF"/>
              </w:rPr>
              <w:t>Use caution</w:t>
            </w:r>
          </w:p>
        </w:tc>
      </w:tr>
      <w:tr w:rsidR="00EC17D7" w:rsidTr="00600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left w:val="thinThickSmallGap" w:sz="24" w:space="0" w:color="auto"/>
            </w:tcBorders>
          </w:tcPr>
          <w:p w:rsidR="00EC17D7" w:rsidRDefault="00EC17D7" w:rsidP="00AA724E">
            <w:pPr>
              <w:pStyle w:val="paragraph"/>
              <w:spacing w:before="0" w:beforeAutospacing="0" w:after="0" w:afterAutospacing="0"/>
              <w:jc w:val="both"/>
              <w:textAlignment w:val="baseline"/>
              <w:rPr>
                <w:b w:val="0"/>
                <w:bCs w:val="0"/>
                <w:color w:val="202227"/>
                <w:sz w:val="28"/>
                <w:szCs w:val="28"/>
                <w:lang w:val="en-GB"/>
              </w:rPr>
            </w:pPr>
            <w:r>
              <w:rPr>
                <w:b w:val="0"/>
                <w:bCs w:val="0"/>
                <w:color w:val="202227"/>
                <w:sz w:val="28"/>
                <w:szCs w:val="28"/>
                <w:lang w:val="en-GB"/>
              </w:rPr>
              <w:t>Prednisolone</w:t>
            </w:r>
          </w:p>
        </w:tc>
        <w:tc>
          <w:tcPr>
            <w:tcW w:w="3117" w:type="dxa"/>
          </w:tcPr>
          <w:p w:rsidR="00EC17D7" w:rsidRDefault="00EC17D7" w:rsidP="00600240">
            <w:pPr>
              <w:cnfStyle w:val="000000100000" w:firstRow="0" w:lastRow="0" w:firstColumn="0" w:lastColumn="0" w:oddVBand="0" w:evenVBand="0" w:oddHBand="1" w:evenHBand="0" w:firstRowFirstColumn="0" w:firstRowLastColumn="0" w:lastRowFirstColumn="0" w:lastRowLastColumn="0"/>
              <w:rPr>
                <w:lang w:val="en-GB"/>
              </w:rPr>
            </w:pPr>
            <w:r>
              <w:rPr>
                <w:lang w:val="en-GB"/>
              </w:rPr>
              <w:t>No</w:t>
            </w:r>
            <w:r w:rsidR="00600240">
              <w:rPr>
                <w:lang w:val="en-GB"/>
              </w:rPr>
              <w:t xml:space="preserve"> </w:t>
            </w:r>
            <w:r>
              <w:rPr>
                <w:lang w:val="en-GB"/>
              </w:rPr>
              <w:t xml:space="preserve">change </w:t>
            </w:r>
            <w:r w:rsidR="00600240">
              <w:rPr>
                <w:lang w:val="en-GB"/>
              </w:rPr>
              <w:t>In alendronate bioavaila</w:t>
            </w:r>
            <w:r>
              <w:rPr>
                <w:lang w:val="en-GB"/>
              </w:rPr>
              <w:t>bilty</w:t>
            </w:r>
          </w:p>
        </w:tc>
        <w:tc>
          <w:tcPr>
            <w:tcW w:w="3117" w:type="dxa"/>
            <w:tcBorders>
              <w:right w:val="thickThinSmallGap" w:sz="24" w:space="0" w:color="auto"/>
            </w:tcBorders>
          </w:tcPr>
          <w:p w:rsidR="00EC17D7" w:rsidRDefault="00EC17D7" w:rsidP="00AA724E">
            <w:pPr>
              <w:pStyle w:val="paragraph"/>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b/>
                <w:bCs/>
                <w:color w:val="202227"/>
                <w:sz w:val="28"/>
                <w:szCs w:val="28"/>
                <w:lang w:val="en-GB"/>
              </w:rPr>
            </w:pPr>
          </w:p>
        </w:tc>
      </w:tr>
      <w:tr w:rsidR="00EC17D7" w:rsidTr="00600240">
        <w:tc>
          <w:tcPr>
            <w:cnfStyle w:val="001000000000" w:firstRow="0" w:lastRow="0" w:firstColumn="1" w:lastColumn="0" w:oddVBand="0" w:evenVBand="0" w:oddHBand="0" w:evenHBand="0" w:firstRowFirstColumn="0" w:firstRowLastColumn="0" w:lastRowFirstColumn="0" w:lastRowLastColumn="0"/>
            <w:tcW w:w="3116" w:type="dxa"/>
            <w:tcBorders>
              <w:left w:val="thinThickSmallGap" w:sz="24" w:space="0" w:color="auto"/>
              <w:bottom w:val="thickThinSmallGap" w:sz="24" w:space="0" w:color="auto"/>
            </w:tcBorders>
          </w:tcPr>
          <w:p w:rsidR="00EC17D7" w:rsidRDefault="00EC17D7" w:rsidP="00AA724E">
            <w:pPr>
              <w:pStyle w:val="paragraph"/>
              <w:spacing w:before="0" w:beforeAutospacing="0" w:after="0" w:afterAutospacing="0"/>
              <w:jc w:val="both"/>
              <w:textAlignment w:val="baseline"/>
              <w:rPr>
                <w:b w:val="0"/>
                <w:bCs w:val="0"/>
                <w:color w:val="202227"/>
                <w:sz w:val="28"/>
                <w:szCs w:val="28"/>
                <w:lang w:val="en-GB"/>
              </w:rPr>
            </w:pPr>
            <w:r>
              <w:rPr>
                <w:rFonts w:ascii="Arial" w:hAnsi="Arial" w:cs="Arial"/>
                <w:color w:val="202227"/>
                <w:sz w:val="23"/>
                <w:szCs w:val="23"/>
                <w:shd w:val="clear" w:color="auto" w:fill="FFFFFF"/>
              </w:rPr>
              <w:t>Ranitidine</w:t>
            </w:r>
          </w:p>
        </w:tc>
        <w:tc>
          <w:tcPr>
            <w:tcW w:w="3117" w:type="dxa"/>
            <w:tcBorders>
              <w:bottom w:val="thickThinSmallGap" w:sz="24" w:space="0" w:color="auto"/>
            </w:tcBorders>
          </w:tcPr>
          <w:p w:rsidR="00EC17D7" w:rsidRDefault="00600240" w:rsidP="00600240">
            <w:pPr>
              <w:cnfStyle w:val="000000000000" w:firstRow="0" w:lastRow="0" w:firstColumn="0" w:lastColumn="0" w:oddVBand="0" w:evenVBand="0" w:oddHBand="0" w:evenHBand="0" w:firstRowFirstColumn="0" w:firstRowLastColumn="0" w:lastRowFirstColumn="0" w:lastRowLastColumn="0"/>
              <w:rPr>
                <w:b/>
                <w:bCs/>
                <w:sz w:val="28"/>
                <w:szCs w:val="28"/>
                <w:lang w:val="en-GB"/>
              </w:rPr>
            </w:pPr>
            <w:r>
              <w:rPr>
                <w:shd w:val="clear" w:color="auto" w:fill="FFFFFF"/>
              </w:rPr>
              <w:t>IV ranitidine doubled alendronate bioavailability; however, clinical importance not known</w:t>
            </w:r>
          </w:p>
        </w:tc>
        <w:tc>
          <w:tcPr>
            <w:tcW w:w="3117" w:type="dxa"/>
            <w:tcBorders>
              <w:bottom w:val="thickThinSmallGap" w:sz="24" w:space="0" w:color="auto"/>
              <w:right w:val="thickThinSmallGap" w:sz="24" w:space="0" w:color="auto"/>
            </w:tcBorders>
          </w:tcPr>
          <w:p w:rsidR="00EC17D7" w:rsidRDefault="00EC17D7" w:rsidP="00AA724E">
            <w:pPr>
              <w:pStyle w:val="paragraph"/>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b/>
                <w:bCs/>
                <w:color w:val="202227"/>
                <w:sz w:val="28"/>
                <w:szCs w:val="28"/>
                <w:lang w:val="en-GB"/>
              </w:rPr>
            </w:pPr>
          </w:p>
        </w:tc>
      </w:tr>
    </w:tbl>
    <w:p w:rsidR="00AA724E" w:rsidRPr="00AA724E" w:rsidRDefault="00AA724E" w:rsidP="00AA724E">
      <w:pPr>
        <w:pStyle w:val="paragraph"/>
        <w:spacing w:before="0" w:beforeAutospacing="0" w:after="0" w:afterAutospacing="0"/>
        <w:jc w:val="both"/>
        <w:textAlignment w:val="baseline"/>
        <w:rPr>
          <w:b/>
          <w:bCs/>
          <w:color w:val="202227"/>
          <w:sz w:val="28"/>
          <w:szCs w:val="28"/>
          <w:lang w:val="en-GB"/>
        </w:rPr>
      </w:pPr>
    </w:p>
    <w:p w:rsidR="008C5F8C" w:rsidRPr="008C5F8C" w:rsidRDefault="008C5F8C" w:rsidP="008C5F8C">
      <w:pPr>
        <w:rPr>
          <w:rFonts w:ascii="Times New Roman" w:hAnsi="Times New Roman" w:cs="Times New Roman"/>
          <w:b/>
          <w:sz w:val="28"/>
          <w:szCs w:val="28"/>
          <w:u w:val="single"/>
        </w:rPr>
      </w:pPr>
      <w:r w:rsidRPr="008C5F8C">
        <w:rPr>
          <w:rFonts w:ascii="Times New Roman" w:hAnsi="Times New Roman" w:cs="Times New Roman"/>
          <w:b/>
          <w:sz w:val="28"/>
          <w:szCs w:val="28"/>
          <w:u w:val="single"/>
        </w:rPr>
        <w:t>Contraindications</w:t>
      </w:r>
    </w:p>
    <w:p w:rsidR="008C5F8C" w:rsidRPr="008C5F8C" w:rsidRDefault="008C5F8C" w:rsidP="008C5F8C">
      <w:pPr>
        <w:pStyle w:val="NormalWeb"/>
        <w:numPr>
          <w:ilvl w:val="0"/>
          <w:numId w:val="11"/>
        </w:numPr>
        <w:shd w:val="clear" w:color="auto" w:fill="FFFFFF"/>
        <w:spacing w:before="0" w:beforeAutospacing="0" w:after="0" w:afterAutospacing="0"/>
        <w:ind w:left="0"/>
        <w:rPr>
          <w:color w:val="202227"/>
        </w:rPr>
      </w:pPr>
      <w:r w:rsidRPr="008C5F8C">
        <w:rPr>
          <w:color w:val="202227"/>
        </w:rPr>
        <w:t>Esophageal abnormalities that delay esophageal emptying (e.g., stricture, achalasia).</w:t>
      </w:r>
    </w:p>
    <w:p w:rsidR="008C5F8C" w:rsidRPr="008C5F8C" w:rsidRDefault="008C5F8C" w:rsidP="008C5F8C">
      <w:pPr>
        <w:pStyle w:val="NormalWeb"/>
        <w:numPr>
          <w:ilvl w:val="0"/>
          <w:numId w:val="11"/>
        </w:numPr>
        <w:shd w:val="clear" w:color="auto" w:fill="FFFFFF"/>
        <w:spacing w:before="0" w:beforeAutospacing="0" w:after="0" w:afterAutospacing="0"/>
        <w:ind w:left="0"/>
        <w:rPr>
          <w:color w:val="202227"/>
        </w:rPr>
      </w:pPr>
      <w:r w:rsidRPr="008C5F8C">
        <w:rPr>
          <w:color w:val="202227"/>
        </w:rPr>
        <w:t>Patients at increased risk of aspiration should not receive alendronate oral solution.</w:t>
      </w:r>
    </w:p>
    <w:p w:rsidR="008C5F8C" w:rsidRPr="008C5F8C" w:rsidRDefault="008C5F8C" w:rsidP="008C5F8C">
      <w:pPr>
        <w:pStyle w:val="NormalWeb"/>
        <w:numPr>
          <w:ilvl w:val="0"/>
          <w:numId w:val="11"/>
        </w:numPr>
        <w:shd w:val="clear" w:color="auto" w:fill="FFFFFF"/>
        <w:spacing w:before="0" w:beforeAutospacing="0" w:after="0" w:afterAutospacing="0"/>
        <w:ind w:left="0"/>
        <w:rPr>
          <w:color w:val="202227"/>
        </w:rPr>
      </w:pPr>
      <w:r w:rsidRPr="008C5F8C">
        <w:rPr>
          <w:color w:val="202227"/>
        </w:rPr>
        <w:t>Inability to stand or sit upright for at least 30 minutes.</w:t>
      </w:r>
    </w:p>
    <w:p w:rsidR="008C5F8C" w:rsidRPr="008C5F8C" w:rsidRDefault="008C5F8C" w:rsidP="008C5F8C">
      <w:pPr>
        <w:pStyle w:val="NormalWeb"/>
        <w:numPr>
          <w:ilvl w:val="0"/>
          <w:numId w:val="11"/>
        </w:numPr>
        <w:shd w:val="clear" w:color="auto" w:fill="FFFFFF"/>
        <w:spacing w:before="0" w:beforeAutospacing="0" w:after="0" w:afterAutospacing="0"/>
        <w:ind w:left="0"/>
        <w:rPr>
          <w:color w:val="202227"/>
        </w:rPr>
      </w:pPr>
      <w:r w:rsidRPr="008C5F8C">
        <w:rPr>
          <w:color w:val="202227"/>
        </w:rPr>
        <w:t>Hypocalcemia.</w:t>
      </w:r>
    </w:p>
    <w:p w:rsidR="008C5F8C" w:rsidRDefault="008C5F8C" w:rsidP="008C5F8C">
      <w:pPr>
        <w:pStyle w:val="NormalWeb"/>
        <w:numPr>
          <w:ilvl w:val="0"/>
          <w:numId w:val="11"/>
        </w:numPr>
        <w:shd w:val="clear" w:color="auto" w:fill="FFFFFF"/>
        <w:spacing w:before="0" w:beforeAutospacing="0" w:after="0" w:afterAutospacing="0"/>
        <w:ind w:left="0"/>
        <w:rPr>
          <w:color w:val="202227"/>
        </w:rPr>
      </w:pPr>
      <w:r w:rsidRPr="008C5F8C">
        <w:rPr>
          <w:color w:val="202227"/>
        </w:rPr>
        <w:t>Known hypersensitivity to alendronate or any ingredient in the formulation.</w:t>
      </w:r>
    </w:p>
    <w:p w:rsidR="008C5F8C" w:rsidRDefault="008C5F8C" w:rsidP="0027691A">
      <w:pPr>
        <w:pStyle w:val="NormalWeb"/>
        <w:shd w:val="clear" w:color="auto" w:fill="FFFFFF"/>
        <w:spacing w:before="0" w:beforeAutospacing="0" w:after="0" w:afterAutospacing="0"/>
        <w:rPr>
          <w:color w:val="202227"/>
        </w:rPr>
      </w:pPr>
    </w:p>
    <w:p w:rsidR="0027691A" w:rsidRPr="00454EB6" w:rsidRDefault="0027691A" w:rsidP="0027691A">
      <w:pPr>
        <w:pStyle w:val="Heading4"/>
        <w:shd w:val="clear" w:color="auto" w:fill="FFFFFF"/>
        <w:spacing w:before="360" w:after="180"/>
        <w:rPr>
          <w:rFonts w:ascii="Times New Roman" w:hAnsi="Times New Roman" w:cs="Times New Roman"/>
          <w:b/>
          <w:i w:val="0"/>
          <w:color w:val="202227"/>
          <w:spacing w:val="-2"/>
          <w:sz w:val="32"/>
          <w:szCs w:val="32"/>
          <w:u w:val="single"/>
        </w:rPr>
      </w:pPr>
      <w:r w:rsidRPr="00454EB6">
        <w:rPr>
          <w:rFonts w:ascii="Times New Roman" w:hAnsi="Times New Roman" w:cs="Times New Roman"/>
          <w:b/>
          <w:i w:val="0"/>
          <w:color w:val="202227"/>
          <w:spacing w:val="-2"/>
          <w:sz w:val="32"/>
          <w:szCs w:val="32"/>
          <w:u w:val="single"/>
        </w:rPr>
        <w:t>Specific Populations</w:t>
      </w:r>
    </w:p>
    <w:p w:rsidR="0027691A" w:rsidRPr="00454EB6" w:rsidRDefault="0027691A" w:rsidP="00B56D9A">
      <w:pPr>
        <w:pStyle w:val="Heading5"/>
        <w:numPr>
          <w:ilvl w:val="0"/>
          <w:numId w:val="19"/>
        </w:numPr>
        <w:shd w:val="clear" w:color="auto" w:fill="FFFFFF"/>
        <w:spacing w:before="360" w:after="180"/>
        <w:rPr>
          <w:rFonts w:ascii="Times New Roman" w:hAnsi="Times New Roman" w:cs="Times New Roman"/>
          <w:b/>
          <w:color w:val="202227"/>
          <w:spacing w:val="-2"/>
          <w:sz w:val="28"/>
          <w:szCs w:val="28"/>
        </w:rPr>
      </w:pPr>
      <w:r w:rsidRPr="00454EB6">
        <w:rPr>
          <w:rFonts w:ascii="Times New Roman" w:hAnsi="Times New Roman" w:cs="Times New Roman"/>
          <w:b/>
          <w:color w:val="202227"/>
          <w:spacing w:val="-2"/>
          <w:sz w:val="28"/>
          <w:szCs w:val="28"/>
        </w:rPr>
        <w:t>Pregnancy</w:t>
      </w:r>
    </w:p>
    <w:p w:rsidR="00454EB6" w:rsidRDefault="0027691A" w:rsidP="00B56D9A">
      <w:pPr>
        <w:pStyle w:val="NormalWeb"/>
        <w:numPr>
          <w:ilvl w:val="0"/>
          <w:numId w:val="19"/>
        </w:numPr>
        <w:shd w:val="clear" w:color="auto" w:fill="FFFFFF"/>
        <w:spacing w:before="180" w:beforeAutospacing="0" w:after="300" w:afterAutospacing="0"/>
        <w:rPr>
          <w:color w:val="202227"/>
        </w:rPr>
      </w:pPr>
      <w:r w:rsidRPr="0027691A">
        <w:rPr>
          <w:color w:val="202227"/>
        </w:rPr>
        <w:t xml:space="preserve">Alendronate alone or in fixed combination with cholecalciferol: </w:t>
      </w:r>
      <w:r w:rsidRPr="00B31892">
        <w:rPr>
          <w:b/>
          <w:color w:val="202227"/>
          <w:sz w:val="28"/>
          <w:szCs w:val="28"/>
        </w:rPr>
        <w:t>Category C.</w:t>
      </w:r>
    </w:p>
    <w:p w:rsidR="0027691A" w:rsidRPr="00454EB6" w:rsidRDefault="0027691A" w:rsidP="00B56D9A">
      <w:pPr>
        <w:pStyle w:val="NormalWeb"/>
        <w:numPr>
          <w:ilvl w:val="0"/>
          <w:numId w:val="19"/>
        </w:numPr>
        <w:shd w:val="clear" w:color="auto" w:fill="FFFFFF"/>
        <w:spacing w:before="180" w:beforeAutospacing="0" w:after="300" w:afterAutospacing="0"/>
        <w:rPr>
          <w:b/>
          <w:color w:val="202227"/>
          <w:sz w:val="28"/>
          <w:szCs w:val="28"/>
        </w:rPr>
      </w:pPr>
      <w:r w:rsidRPr="00454EB6">
        <w:rPr>
          <w:b/>
          <w:color w:val="202227"/>
          <w:spacing w:val="-2"/>
          <w:sz w:val="28"/>
          <w:szCs w:val="28"/>
        </w:rPr>
        <w:t>Lactation</w:t>
      </w:r>
    </w:p>
    <w:p w:rsidR="0027691A" w:rsidRPr="0027691A" w:rsidRDefault="0027691A" w:rsidP="00B56D9A">
      <w:pPr>
        <w:pStyle w:val="NormalWeb"/>
        <w:numPr>
          <w:ilvl w:val="0"/>
          <w:numId w:val="19"/>
        </w:numPr>
        <w:shd w:val="clear" w:color="auto" w:fill="FFFFFF"/>
        <w:spacing w:before="180" w:beforeAutospacing="0" w:after="300" w:afterAutospacing="0"/>
        <w:rPr>
          <w:color w:val="202227"/>
        </w:rPr>
      </w:pPr>
      <w:r w:rsidRPr="0027691A">
        <w:rPr>
          <w:color w:val="202227"/>
        </w:rPr>
        <w:t>Not known whether alendronate is distributed into milk. Caution if used in nursing women.</w:t>
      </w:r>
    </w:p>
    <w:p w:rsidR="0027691A" w:rsidRPr="00454EB6" w:rsidRDefault="0027691A" w:rsidP="00B56D9A">
      <w:pPr>
        <w:pStyle w:val="Heading5"/>
        <w:numPr>
          <w:ilvl w:val="0"/>
          <w:numId w:val="19"/>
        </w:numPr>
        <w:shd w:val="clear" w:color="auto" w:fill="FFFFFF"/>
        <w:spacing w:before="360" w:after="180"/>
        <w:rPr>
          <w:rFonts w:ascii="Times New Roman" w:hAnsi="Times New Roman" w:cs="Times New Roman"/>
          <w:b/>
          <w:color w:val="202227"/>
          <w:spacing w:val="-2"/>
          <w:sz w:val="28"/>
          <w:szCs w:val="28"/>
        </w:rPr>
      </w:pPr>
      <w:r w:rsidRPr="00454EB6">
        <w:rPr>
          <w:rFonts w:ascii="Times New Roman" w:hAnsi="Times New Roman" w:cs="Times New Roman"/>
          <w:b/>
          <w:color w:val="202227"/>
          <w:spacing w:val="-2"/>
          <w:sz w:val="28"/>
          <w:szCs w:val="28"/>
        </w:rPr>
        <w:t>Pediatric Use</w:t>
      </w:r>
    </w:p>
    <w:p w:rsidR="0027691A" w:rsidRPr="0027691A" w:rsidRDefault="0027691A" w:rsidP="00B56D9A">
      <w:pPr>
        <w:pStyle w:val="NormalWeb"/>
        <w:numPr>
          <w:ilvl w:val="0"/>
          <w:numId w:val="19"/>
        </w:numPr>
        <w:shd w:val="clear" w:color="auto" w:fill="FFFFFF"/>
        <w:spacing w:before="180" w:beforeAutospacing="0" w:after="300" w:afterAutospacing="0"/>
        <w:rPr>
          <w:color w:val="202227"/>
        </w:rPr>
      </w:pPr>
      <w:r w:rsidRPr="0027691A">
        <w:rPr>
          <w:color w:val="202227"/>
        </w:rPr>
        <w:t>In randomized trial in pediatric patients (4–18 years of age) with osteogenesis imperfecta, treatment with alendronate did not reduce risk of fracture or bone pain; increased incidence of vomiting in children receiving alendronate compared with placebo. Manufacturer states that alendronate not indicated in children.</w:t>
      </w:r>
    </w:p>
    <w:p w:rsidR="0027691A" w:rsidRPr="00454EB6" w:rsidRDefault="0027691A" w:rsidP="00B56D9A">
      <w:pPr>
        <w:pStyle w:val="Heading5"/>
        <w:numPr>
          <w:ilvl w:val="0"/>
          <w:numId w:val="19"/>
        </w:numPr>
        <w:shd w:val="clear" w:color="auto" w:fill="FFFFFF"/>
        <w:spacing w:before="360" w:after="180"/>
        <w:rPr>
          <w:rFonts w:ascii="Times New Roman" w:hAnsi="Times New Roman" w:cs="Times New Roman"/>
          <w:b/>
          <w:color w:val="202227"/>
          <w:spacing w:val="-2"/>
          <w:sz w:val="28"/>
          <w:szCs w:val="28"/>
        </w:rPr>
      </w:pPr>
      <w:r w:rsidRPr="00454EB6">
        <w:rPr>
          <w:rFonts w:ascii="Times New Roman" w:hAnsi="Times New Roman" w:cs="Times New Roman"/>
          <w:b/>
          <w:color w:val="202227"/>
          <w:spacing w:val="-2"/>
          <w:sz w:val="28"/>
          <w:szCs w:val="28"/>
        </w:rPr>
        <w:t>Geriatric Use</w:t>
      </w:r>
    </w:p>
    <w:p w:rsidR="0027691A" w:rsidRPr="0027691A" w:rsidRDefault="0027691A" w:rsidP="00B56D9A">
      <w:pPr>
        <w:pStyle w:val="NormalWeb"/>
        <w:numPr>
          <w:ilvl w:val="0"/>
          <w:numId w:val="19"/>
        </w:numPr>
        <w:shd w:val="clear" w:color="auto" w:fill="FFFFFF"/>
        <w:spacing w:before="180" w:beforeAutospacing="0" w:after="300" w:afterAutospacing="0"/>
        <w:rPr>
          <w:color w:val="202227"/>
        </w:rPr>
      </w:pPr>
      <w:r w:rsidRPr="0027691A">
        <w:rPr>
          <w:color w:val="202227"/>
        </w:rPr>
        <w:t>No substantial differences in safety and efficacy relative to younger adults, but increased sensitivity cannot be ruled out.</w:t>
      </w:r>
    </w:p>
    <w:p w:rsidR="0027691A" w:rsidRPr="00454EB6" w:rsidRDefault="0027691A" w:rsidP="00B56D9A">
      <w:pPr>
        <w:pStyle w:val="Heading5"/>
        <w:numPr>
          <w:ilvl w:val="0"/>
          <w:numId w:val="19"/>
        </w:numPr>
        <w:shd w:val="clear" w:color="auto" w:fill="FFFFFF"/>
        <w:spacing w:before="360" w:after="180"/>
        <w:rPr>
          <w:rFonts w:ascii="Times New Roman" w:hAnsi="Times New Roman" w:cs="Times New Roman"/>
          <w:b/>
          <w:color w:val="202227"/>
          <w:spacing w:val="-2"/>
          <w:sz w:val="28"/>
          <w:szCs w:val="28"/>
        </w:rPr>
      </w:pPr>
      <w:r w:rsidRPr="00454EB6">
        <w:rPr>
          <w:rFonts w:ascii="Times New Roman" w:hAnsi="Times New Roman" w:cs="Times New Roman"/>
          <w:b/>
          <w:color w:val="202227"/>
          <w:spacing w:val="-2"/>
          <w:sz w:val="28"/>
          <w:szCs w:val="28"/>
        </w:rPr>
        <w:t>Hepatic Impairment</w:t>
      </w:r>
    </w:p>
    <w:p w:rsidR="00454EB6" w:rsidRDefault="0027691A" w:rsidP="00B56D9A">
      <w:pPr>
        <w:pStyle w:val="NormalWeb"/>
        <w:numPr>
          <w:ilvl w:val="0"/>
          <w:numId w:val="19"/>
        </w:numPr>
        <w:shd w:val="clear" w:color="auto" w:fill="FFFFFF"/>
        <w:spacing w:before="180" w:beforeAutospacing="0" w:after="300" w:afterAutospacing="0"/>
        <w:rPr>
          <w:color w:val="202227"/>
        </w:rPr>
      </w:pPr>
      <w:r w:rsidRPr="0027691A">
        <w:rPr>
          <w:color w:val="202227"/>
        </w:rPr>
        <w:t>Not evaluated in patients with hepatic impairment.</w:t>
      </w:r>
    </w:p>
    <w:p w:rsidR="0027691A" w:rsidRPr="0027691A" w:rsidRDefault="0027691A" w:rsidP="0027691A">
      <w:pPr>
        <w:pStyle w:val="NormalWeb"/>
        <w:shd w:val="clear" w:color="auto" w:fill="FFFFFF"/>
        <w:spacing w:before="180" w:beforeAutospacing="0" w:after="300" w:afterAutospacing="0"/>
        <w:rPr>
          <w:color w:val="202227"/>
        </w:rPr>
      </w:pPr>
      <w:r w:rsidRPr="00454EB6">
        <w:rPr>
          <w:b/>
          <w:color w:val="202227"/>
          <w:spacing w:val="-2"/>
          <w:sz w:val="28"/>
          <w:szCs w:val="28"/>
        </w:rPr>
        <w:lastRenderedPageBreak/>
        <w:t>Renal Impairment</w:t>
      </w:r>
      <w:r w:rsidR="00454EB6">
        <w:rPr>
          <w:b/>
          <w:color w:val="202227"/>
          <w:spacing w:val="-2"/>
          <w:sz w:val="28"/>
          <w:szCs w:val="28"/>
        </w:rPr>
        <w:t xml:space="preserve"> </w:t>
      </w:r>
      <w:r w:rsidRPr="0027691A">
        <w:rPr>
          <w:color w:val="202227"/>
        </w:rPr>
        <w:t>Use not recommended in patients with severe renal impairment (</w:t>
      </w:r>
      <w:proofErr w:type="spellStart"/>
      <w:r w:rsidRPr="0027691A">
        <w:rPr>
          <w:color w:val="202227"/>
        </w:rPr>
        <w:t>Cl</w:t>
      </w:r>
      <w:r w:rsidRPr="0027691A">
        <w:rPr>
          <w:color w:val="202227"/>
          <w:vertAlign w:val="subscript"/>
        </w:rPr>
        <w:t>cr</w:t>
      </w:r>
      <w:proofErr w:type="spellEnd"/>
      <w:r w:rsidRPr="0027691A">
        <w:rPr>
          <w:color w:val="202227"/>
        </w:rPr>
        <w:t> &lt;35 mL/minute). (See Special Populations under Pharmacokinetics.)</w:t>
      </w:r>
    </w:p>
    <w:p w:rsidR="00AA724E" w:rsidRDefault="00600240">
      <w:pPr>
        <w:rPr>
          <w:rFonts w:ascii="Times New Roman" w:hAnsi="Times New Roman" w:cs="Times New Roman"/>
          <w:b/>
          <w:sz w:val="32"/>
          <w:szCs w:val="32"/>
          <w:u w:val="single"/>
        </w:rPr>
      </w:pPr>
      <w:r w:rsidRPr="00600240">
        <w:rPr>
          <w:rFonts w:ascii="Times New Roman" w:hAnsi="Times New Roman" w:cs="Times New Roman"/>
          <w:b/>
          <w:sz w:val="32"/>
          <w:szCs w:val="32"/>
          <w:u w:val="single"/>
        </w:rPr>
        <w:t xml:space="preserve">SIDE EFFECTS </w:t>
      </w:r>
    </w:p>
    <w:p w:rsidR="005B17EA" w:rsidRPr="005B17EA" w:rsidRDefault="005B17EA" w:rsidP="005B17EA">
      <w:pPr>
        <w:pStyle w:val="ListParagraph"/>
        <w:numPr>
          <w:ilvl w:val="0"/>
          <w:numId w:val="8"/>
        </w:numPr>
        <w:rPr>
          <w:rFonts w:ascii="Times New Roman" w:hAnsi="Times New Roman" w:cs="Times New Roman"/>
          <w:sz w:val="24"/>
          <w:szCs w:val="24"/>
        </w:rPr>
      </w:pPr>
      <w:r w:rsidRPr="005B17EA">
        <w:rPr>
          <w:rFonts w:ascii="Times New Roman" w:hAnsi="Times New Roman" w:cs="Times New Roman"/>
          <w:b/>
          <w:sz w:val="28"/>
          <w:szCs w:val="28"/>
        </w:rPr>
        <w:t>Common or very common</w:t>
      </w:r>
      <w:r w:rsidRPr="005B17EA">
        <w:rPr>
          <w:rFonts w:ascii="Times New Roman" w:hAnsi="Times New Roman" w:cs="Times New Roman"/>
          <w:sz w:val="24"/>
          <w:szCs w:val="24"/>
        </w:rPr>
        <w:t xml:space="preserve"> Gastrointestinal</w:t>
      </w:r>
      <w:r w:rsidRPr="005B17EA">
        <w:rPr>
          <w:rFonts w:ascii="Times New Roman" w:hAnsi="Times New Roman" w:cs="Times New Roman"/>
          <w:sz w:val="24"/>
          <w:szCs w:val="24"/>
        </w:rPr>
        <w:t xml:space="preserve"> </w:t>
      </w:r>
      <w:r w:rsidRPr="005B17EA">
        <w:rPr>
          <w:rFonts w:ascii="Times New Roman" w:hAnsi="Times New Roman" w:cs="Times New Roman"/>
          <w:sz w:val="24"/>
          <w:szCs w:val="24"/>
        </w:rPr>
        <w:t xml:space="preserve"> d</w:t>
      </w:r>
      <w:r w:rsidRPr="005B17EA">
        <w:rPr>
          <w:rFonts w:ascii="Times New Roman" w:hAnsi="Times New Roman" w:cs="Times New Roman"/>
          <w:sz w:val="24"/>
          <w:szCs w:val="24"/>
        </w:rPr>
        <w:t>isorders-joint swelling vertigo</w:t>
      </w:r>
    </w:p>
    <w:p w:rsidR="005B17EA" w:rsidRPr="005B17EA" w:rsidRDefault="005B17EA" w:rsidP="005B17EA">
      <w:pPr>
        <w:pStyle w:val="ListParagraph"/>
        <w:numPr>
          <w:ilvl w:val="0"/>
          <w:numId w:val="8"/>
        </w:numPr>
        <w:rPr>
          <w:rFonts w:ascii="Times New Roman" w:hAnsi="Times New Roman" w:cs="Times New Roman"/>
          <w:sz w:val="24"/>
          <w:szCs w:val="24"/>
        </w:rPr>
      </w:pPr>
      <w:r w:rsidRPr="005B17EA">
        <w:rPr>
          <w:rFonts w:ascii="Times New Roman" w:hAnsi="Times New Roman" w:cs="Times New Roman"/>
          <w:sz w:val="24"/>
          <w:szCs w:val="24"/>
        </w:rPr>
        <w:t>Uncommon Haemorrhage</w:t>
      </w:r>
    </w:p>
    <w:p w:rsidR="005B17EA" w:rsidRPr="005B17EA" w:rsidRDefault="005B17EA" w:rsidP="005B17EA">
      <w:pPr>
        <w:pStyle w:val="ListParagraph"/>
        <w:numPr>
          <w:ilvl w:val="0"/>
          <w:numId w:val="8"/>
        </w:numPr>
        <w:rPr>
          <w:rFonts w:ascii="Times New Roman" w:hAnsi="Times New Roman" w:cs="Times New Roman"/>
          <w:sz w:val="24"/>
          <w:szCs w:val="24"/>
        </w:rPr>
      </w:pPr>
      <w:r w:rsidRPr="005B17EA">
        <w:rPr>
          <w:rFonts w:ascii="Times New Roman" w:hAnsi="Times New Roman" w:cs="Times New Roman"/>
          <w:b/>
          <w:sz w:val="28"/>
          <w:szCs w:val="28"/>
        </w:rPr>
        <w:t>Rare or very rare</w:t>
      </w:r>
      <w:r w:rsidRPr="005B17EA">
        <w:rPr>
          <w:rFonts w:ascii="Times New Roman" w:hAnsi="Times New Roman" w:cs="Times New Roman"/>
          <w:sz w:val="24"/>
          <w:szCs w:val="24"/>
        </w:rPr>
        <w:t xml:space="preserve"> Femoral stress fracture oropharyngeal ulceration-photosensitivity reaction severe cuta</w:t>
      </w:r>
      <w:r w:rsidRPr="005B17EA">
        <w:rPr>
          <w:rFonts w:ascii="Times New Roman" w:hAnsi="Times New Roman" w:cs="Times New Roman"/>
          <w:sz w:val="24"/>
          <w:szCs w:val="24"/>
        </w:rPr>
        <w:t>neous adverse reactions (SCARS)</w:t>
      </w:r>
    </w:p>
    <w:p w:rsidR="005B17EA" w:rsidRDefault="005B17EA" w:rsidP="005B17EA">
      <w:pPr>
        <w:pStyle w:val="ListParagraph"/>
        <w:numPr>
          <w:ilvl w:val="0"/>
          <w:numId w:val="8"/>
        </w:numPr>
        <w:rPr>
          <w:rFonts w:ascii="Times New Roman" w:hAnsi="Times New Roman" w:cs="Times New Roman"/>
          <w:sz w:val="24"/>
          <w:szCs w:val="24"/>
        </w:rPr>
      </w:pPr>
      <w:r w:rsidRPr="005B17EA">
        <w:rPr>
          <w:rFonts w:ascii="Times New Roman" w:hAnsi="Times New Roman" w:cs="Times New Roman"/>
          <w:b/>
          <w:sz w:val="28"/>
          <w:szCs w:val="28"/>
        </w:rPr>
        <w:t>SIDE-EFFECTS, FURTHER</w:t>
      </w:r>
      <w:r w:rsidRPr="005B17EA">
        <w:rPr>
          <w:rFonts w:ascii="Times New Roman" w:hAnsi="Times New Roman" w:cs="Times New Roman"/>
          <w:sz w:val="24"/>
          <w:szCs w:val="24"/>
        </w:rPr>
        <w:t xml:space="preserve"> </w:t>
      </w:r>
      <w:r w:rsidRPr="005B17EA">
        <w:rPr>
          <w:rFonts w:ascii="Times New Roman" w:hAnsi="Times New Roman" w:cs="Times New Roman"/>
          <w:b/>
          <w:sz w:val="28"/>
          <w:szCs w:val="28"/>
        </w:rPr>
        <w:t xml:space="preserve">INFORMATION </w:t>
      </w:r>
      <w:r w:rsidRPr="005B17EA">
        <w:rPr>
          <w:rFonts w:ascii="Times New Roman" w:hAnsi="Times New Roman" w:cs="Times New Roman"/>
          <w:sz w:val="24"/>
          <w:szCs w:val="24"/>
        </w:rPr>
        <w:t>Severe oesophageal reactions (oesophagitis, oesophageal ulcers, oesophageal stricture and oesophageal erosions) have been reported; patients should be advised to stop taking the tablets and to seek medical attention if they develop symptoms of oesophageal irritation such as dysphagia, new or worsening heartburn, pain on swallowing or retrosternal</w:t>
      </w:r>
      <w:r w:rsidR="00B56D9A">
        <w:rPr>
          <w:rFonts w:ascii="Times New Roman" w:hAnsi="Times New Roman" w:cs="Times New Roman"/>
          <w:sz w:val="24"/>
          <w:szCs w:val="24"/>
        </w:rPr>
        <w:t>’</w:t>
      </w:r>
    </w:p>
    <w:p w:rsidR="00B56D9A" w:rsidRDefault="00B56D9A" w:rsidP="00B56D9A">
      <w:pPr>
        <w:pStyle w:val="ListParagraph"/>
        <w:rPr>
          <w:rFonts w:ascii="Times New Roman" w:hAnsi="Times New Roman" w:cs="Times New Roman"/>
          <w:b/>
          <w:sz w:val="28"/>
          <w:szCs w:val="28"/>
        </w:rPr>
      </w:pPr>
    </w:p>
    <w:p w:rsidR="00B56D9A" w:rsidRDefault="00B56D9A" w:rsidP="00B56D9A">
      <w:pPr>
        <w:pStyle w:val="ListParagrap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simplePos x="0" y="0"/>
                <wp:positionH relativeFrom="column">
                  <wp:posOffset>491319</wp:posOffset>
                </wp:positionH>
                <wp:positionV relativeFrom="paragraph">
                  <wp:posOffset>74834</wp:posOffset>
                </wp:positionV>
                <wp:extent cx="4012442" cy="1897039"/>
                <wp:effectExtent l="0" t="0" r="26670" b="27305"/>
                <wp:wrapNone/>
                <wp:docPr id="13" name="Text Box 13"/>
                <wp:cNvGraphicFramePr/>
                <a:graphic xmlns:a="http://schemas.openxmlformats.org/drawingml/2006/main">
                  <a:graphicData uri="http://schemas.microsoft.com/office/word/2010/wordprocessingShape">
                    <wps:wsp>
                      <wps:cNvSpPr txBox="1"/>
                      <wps:spPr>
                        <a:xfrm>
                          <a:off x="0" y="0"/>
                          <a:ext cx="4012442" cy="1897039"/>
                        </a:xfrm>
                        <a:prstGeom prst="rect">
                          <a:avLst/>
                        </a:prstGeom>
                        <a:solidFill>
                          <a:schemeClr val="lt1"/>
                        </a:solidFill>
                        <a:ln w="6350">
                          <a:solidFill>
                            <a:prstClr val="black"/>
                          </a:solidFill>
                        </a:ln>
                      </wps:spPr>
                      <wps:txbx>
                        <w:txbxContent>
                          <w:p w:rsidR="00B56D9A" w:rsidRDefault="00B56D9A">
                            <w:pPr>
                              <w:rPr>
                                <w:rFonts w:ascii="Times New Roman" w:hAnsi="Times New Roman" w:cs="Times New Roman"/>
                                <w:b/>
                                <w:sz w:val="36"/>
                                <w:szCs w:val="36"/>
                              </w:rPr>
                            </w:pPr>
                            <w:proofErr w:type="gramStart"/>
                            <w:r w:rsidRPr="00B56D9A">
                              <w:rPr>
                                <w:rFonts w:ascii="Times New Roman" w:hAnsi="Times New Roman" w:cs="Times New Roman"/>
                                <w:b/>
                                <w:sz w:val="36"/>
                                <w:szCs w:val="36"/>
                                <w:highlight w:val="yellow"/>
                              </w:rPr>
                              <w:t>CAUTIONS !</w:t>
                            </w:r>
                            <w:proofErr w:type="gramEnd"/>
                          </w:p>
                          <w:p w:rsidR="00B56D9A" w:rsidRPr="00B56D9A" w:rsidRDefault="00B56D9A">
                            <w:pPr>
                              <w:rPr>
                                <w:rFonts w:ascii="Times New Roman" w:hAnsi="Times New Roman" w:cs="Times New Roman"/>
                                <w:b/>
                                <w:sz w:val="28"/>
                                <w:szCs w:val="28"/>
                              </w:rPr>
                            </w:pPr>
                            <w:r w:rsidRPr="00B56D9A">
                              <w:rPr>
                                <w:rFonts w:ascii="Times New Roman" w:hAnsi="Times New Roman" w:cs="Times New Roman"/>
                                <w:b/>
                                <w:sz w:val="28"/>
                                <w:szCs w:val="28"/>
                              </w:rPr>
                              <w:t>Active gastro-intestinal bleeding. atypical femoral fractures. duodenitis dysphagia. exclude other causes of osteoporosis. gastritis history (within 1 year) of ulcers surgery of the upper gastro-intestinal tract symptomatic oesophageal disease ulcers upper gastro-intestinal disorders.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38.7pt;margin-top:5.9pt;width:315.95pt;height:149.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" fillcolor="white [3201]" strokeweight=".5pt">
                <v:textbox>
                  <w:txbxContent>
                    <w:p w:rsidR="00B56D9A" w:rsidRDefault="00B56D9A">
                      <w:pPr>
                        <w:rPr>
                          <w:rFonts w:ascii="Times New Roman" w:hAnsi="Times New Roman" w:cs="Times New Roman"/>
                          <w:b/>
                          <w:sz w:val="36"/>
                          <w:szCs w:val="36"/>
                        </w:rPr>
                      </w:pPr>
                      <w:proofErr w:type="gramStart"/>
                      <w:r w:rsidRPr="00B56D9A">
                        <w:rPr>
                          <w:rFonts w:ascii="Times New Roman" w:hAnsi="Times New Roman" w:cs="Times New Roman"/>
                          <w:b/>
                          <w:sz w:val="36"/>
                          <w:szCs w:val="36"/>
                          <w:highlight w:val="yellow"/>
                        </w:rPr>
                        <w:t>CAUTIONS !</w:t>
                      </w:r>
                      <w:proofErr w:type="gramEnd"/>
                    </w:p>
                    <w:p w:rsidR="00B56D9A" w:rsidRPr="00B56D9A" w:rsidRDefault="00B56D9A">
                      <w:pPr>
                        <w:rPr>
                          <w:rFonts w:ascii="Times New Roman" w:hAnsi="Times New Roman" w:cs="Times New Roman"/>
                          <w:b/>
                          <w:sz w:val="28"/>
                          <w:szCs w:val="28"/>
                        </w:rPr>
                      </w:pPr>
                      <w:r w:rsidRPr="00B56D9A">
                        <w:rPr>
                          <w:rFonts w:ascii="Times New Roman" w:hAnsi="Times New Roman" w:cs="Times New Roman"/>
                          <w:b/>
                          <w:sz w:val="28"/>
                          <w:szCs w:val="28"/>
                        </w:rPr>
                        <w:t>Active gastro-intestinal bleeding. atypical femoral fractures. duodenitis dysphagia. exclude other causes of osteoporosis. gastritis history (within 1 year) of ulcers surgery of the upper gastro-intestinal tract symptomatic oesophageal disease ulcers upper gastro-intestinal disorders.</w:t>
                      </w:r>
                    </w:p>
                  </w:txbxContent>
                </v:textbox>
              </v:shape>
            </w:pict>
          </mc:Fallback>
        </mc:AlternateContent>
      </w:r>
    </w:p>
    <w:p w:rsidR="00B56D9A" w:rsidRDefault="00B56D9A" w:rsidP="00B56D9A">
      <w:pPr>
        <w:pStyle w:val="ListParagraph"/>
        <w:rPr>
          <w:rFonts w:ascii="Times New Roman" w:hAnsi="Times New Roman" w:cs="Times New Roman"/>
          <w:b/>
          <w:sz w:val="28"/>
          <w:szCs w:val="28"/>
        </w:rPr>
      </w:pPr>
    </w:p>
    <w:p w:rsidR="00B56D9A" w:rsidRDefault="00B56D9A" w:rsidP="00B56D9A">
      <w:pPr>
        <w:pStyle w:val="ListParagraph"/>
        <w:rPr>
          <w:rFonts w:ascii="Times New Roman" w:hAnsi="Times New Roman" w:cs="Times New Roman"/>
          <w:b/>
          <w:sz w:val="28"/>
          <w:szCs w:val="28"/>
        </w:rPr>
      </w:pPr>
    </w:p>
    <w:p w:rsidR="00B56D9A" w:rsidRDefault="00B56D9A" w:rsidP="00B56D9A">
      <w:pPr>
        <w:pStyle w:val="ListParagraph"/>
        <w:rPr>
          <w:rFonts w:ascii="Times New Roman" w:hAnsi="Times New Roman" w:cs="Times New Roman"/>
          <w:b/>
          <w:sz w:val="28"/>
          <w:szCs w:val="28"/>
        </w:rPr>
      </w:pPr>
    </w:p>
    <w:p w:rsidR="00B56D9A" w:rsidRDefault="00B56D9A" w:rsidP="00B56D9A">
      <w:pPr>
        <w:pStyle w:val="ListParagraph"/>
        <w:rPr>
          <w:rFonts w:ascii="Times New Roman" w:hAnsi="Times New Roman" w:cs="Times New Roman"/>
          <w:b/>
          <w:sz w:val="28"/>
          <w:szCs w:val="28"/>
        </w:rPr>
      </w:pPr>
    </w:p>
    <w:p w:rsidR="00B56D9A" w:rsidRDefault="00B56D9A" w:rsidP="00B56D9A">
      <w:pPr>
        <w:pStyle w:val="ListParagraph"/>
        <w:rPr>
          <w:rFonts w:ascii="Times New Roman" w:hAnsi="Times New Roman" w:cs="Times New Roman"/>
          <w:b/>
          <w:sz w:val="28"/>
          <w:szCs w:val="28"/>
        </w:rPr>
      </w:pPr>
    </w:p>
    <w:p w:rsidR="00B56D9A" w:rsidRDefault="00B56D9A" w:rsidP="00B56D9A">
      <w:pPr>
        <w:pStyle w:val="ListParagraph"/>
        <w:rPr>
          <w:rFonts w:ascii="Times New Roman" w:hAnsi="Times New Roman" w:cs="Times New Roman"/>
          <w:b/>
          <w:sz w:val="28"/>
          <w:szCs w:val="28"/>
        </w:rPr>
      </w:pPr>
    </w:p>
    <w:p w:rsidR="00B56D9A" w:rsidRDefault="00B56D9A" w:rsidP="00B56D9A">
      <w:pPr>
        <w:pStyle w:val="ListParagraph"/>
        <w:rPr>
          <w:rFonts w:ascii="Times New Roman" w:hAnsi="Times New Roman" w:cs="Times New Roman"/>
          <w:b/>
          <w:sz w:val="28"/>
          <w:szCs w:val="28"/>
        </w:rPr>
      </w:pPr>
    </w:p>
    <w:p w:rsidR="00B56D9A" w:rsidRDefault="00B56D9A" w:rsidP="00B56D9A">
      <w:pPr>
        <w:pStyle w:val="ListParagraph"/>
        <w:rPr>
          <w:rFonts w:ascii="Times New Roman" w:hAnsi="Times New Roman" w:cs="Times New Roman"/>
          <w:sz w:val="24"/>
          <w:szCs w:val="24"/>
        </w:rPr>
      </w:pPr>
    </w:p>
    <w:p w:rsidR="008C5F8C" w:rsidRDefault="008C5F8C" w:rsidP="00B31892">
      <w:pPr>
        <w:pStyle w:val="ListParagraph"/>
        <w:rPr>
          <w:rFonts w:ascii="Times New Roman" w:hAnsi="Times New Roman" w:cs="Times New Roman"/>
          <w:sz w:val="24"/>
          <w:szCs w:val="24"/>
        </w:rPr>
      </w:pPr>
    </w:p>
    <w:p w:rsidR="00B31892" w:rsidRPr="00B31892" w:rsidRDefault="00B31892" w:rsidP="00B31892">
      <w:pPr>
        <w:rPr>
          <w:rFonts w:ascii="Times New Roman" w:hAnsi="Times New Roman" w:cs="Times New Roman"/>
          <w:b/>
          <w:sz w:val="32"/>
          <w:szCs w:val="32"/>
          <w:u w:val="single"/>
        </w:rPr>
      </w:pPr>
      <w:r w:rsidRPr="00B31892">
        <w:rPr>
          <w:rFonts w:ascii="Times New Roman" w:hAnsi="Times New Roman" w:cs="Times New Roman"/>
          <w:b/>
          <w:sz w:val="32"/>
          <w:szCs w:val="32"/>
          <w:u w:val="single"/>
        </w:rPr>
        <w:t>PATIENT AND CARER ADVICE</w:t>
      </w:r>
    </w:p>
    <w:p w:rsidR="00B31892" w:rsidRDefault="00B31892" w:rsidP="00B31892">
      <w:pPr>
        <w:pStyle w:val="ListParagraph"/>
        <w:rPr>
          <w:rFonts w:ascii="Times New Roman" w:hAnsi="Times New Roman" w:cs="Times New Roman"/>
          <w:sz w:val="24"/>
          <w:szCs w:val="24"/>
        </w:rPr>
      </w:pPr>
      <w:r w:rsidRPr="00B31892">
        <w:rPr>
          <w:rFonts w:ascii="Times New Roman" w:hAnsi="Times New Roman" w:cs="Times New Roman"/>
          <w:sz w:val="24"/>
          <w:szCs w:val="24"/>
        </w:rPr>
        <w:t xml:space="preserve"> Patients or their carers should be given advice on how to administer alendronic </w:t>
      </w:r>
      <w:r>
        <w:rPr>
          <w:rFonts w:ascii="Times New Roman" w:hAnsi="Times New Roman" w:cs="Times New Roman"/>
          <w:sz w:val="24"/>
          <w:szCs w:val="24"/>
        </w:rPr>
        <w:t>acid tablets and oral solution.</w:t>
      </w:r>
      <w:r w:rsidRPr="00B31892">
        <w:rPr>
          <w:rFonts w:ascii="Times New Roman" w:hAnsi="Times New Roman" w:cs="Times New Roman"/>
          <w:sz w:val="24"/>
          <w:szCs w:val="24"/>
        </w:rPr>
        <w:t>O</w:t>
      </w:r>
      <w:r w:rsidRPr="00B31892">
        <w:rPr>
          <w:rFonts w:ascii="Times New Roman" w:hAnsi="Times New Roman" w:cs="Times New Roman"/>
          <w:sz w:val="24"/>
          <w:szCs w:val="24"/>
        </w:rPr>
        <w:t>esophageal reactions Patients (or their carers) should be advised to stop taking alendronic acid and to seek medical attention if they develop symptoms of oesophageal imitation such as dysphagia, new or worsening heartburn, pain on swallowing or retrosternal pain.</w:t>
      </w:r>
    </w:p>
    <w:p w:rsidR="00B31892" w:rsidRDefault="00B31892" w:rsidP="00B31892">
      <w:pPr>
        <w:pStyle w:val="ListParagraph"/>
        <w:rPr>
          <w:rFonts w:ascii="Times New Roman" w:hAnsi="Times New Roman" w:cs="Times New Roman"/>
          <w:sz w:val="24"/>
          <w:szCs w:val="24"/>
        </w:rPr>
      </w:pPr>
    </w:p>
    <w:p w:rsidR="00B31892" w:rsidRDefault="00B31892" w:rsidP="00B31892">
      <w:pPr>
        <w:pStyle w:val="ListParagraph"/>
        <w:rPr>
          <w:rFonts w:ascii="Times New Roman" w:hAnsi="Times New Roman" w:cs="Times New Roman"/>
          <w:sz w:val="24"/>
          <w:szCs w:val="24"/>
        </w:rPr>
      </w:pPr>
    </w:p>
    <w:p w:rsidR="00B31892" w:rsidRDefault="00B31892" w:rsidP="00B31892">
      <w:pPr>
        <w:pStyle w:val="ListParagraph"/>
        <w:rPr>
          <w:rFonts w:ascii="Times New Roman" w:hAnsi="Times New Roman" w:cs="Times New Roman"/>
          <w:b/>
          <w:sz w:val="32"/>
          <w:szCs w:val="32"/>
        </w:rPr>
      </w:pPr>
      <w:r w:rsidRPr="00B31892">
        <w:rPr>
          <w:rFonts w:ascii="Times New Roman" w:hAnsi="Times New Roman" w:cs="Times New Roman"/>
          <w:b/>
          <w:sz w:val="32"/>
          <w:szCs w:val="32"/>
        </w:rPr>
        <w:t>References</w:t>
      </w:r>
    </w:p>
    <w:p w:rsidR="00B31892" w:rsidRDefault="00B31892" w:rsidP="00B31892">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BNF 2024-25</w:t>
      </w:r>
      <w:r w:rsidR="000474F3">
        <w:rPr>
          <w:rFonts w:ascii="Times New Roman" w:hAnsi="Times New Roman" w:cs="Times New Roman"/>
          <w:sz w:val="32"/>
          <w:szCs w:val="32"/>
        </w:rPr>
        <w:t>,Page;771</w:t>
      </w:r>
    </w:p>
    <w:p w:rsidR="000474F3" w:rsidRDefault="000474F3" w:rsidP="000474F3">
      <w:pPr>
        <w:pStyle w:val="ListParagraph"/>
        <w:numPr>
          <w:ilvl w:val="0"/>
          <w:numId w:val="18"/>
        </w:numPr>
        <w:rPr>
          <w:rFonts w:ascii="Times New Roman" w:hAnsi="Times New Roman" w:cs="Times New Roman"/>
          <w:sz w:val="32"/>
          <w:szCs w:val="32"/>
        </w:rPr>
      </w:pPr>
      <w:hyperlink r:id="rId9" w:history="1">
        <w:r w:rsidRPr="000474F3">
          <w:rPr>
            <w:rStyle w:val="Hyperlink"/>
            <w:rFonts w:ascii="Times New Roman" w:hAnsi="Times New Roman" w:cs="Times New Roman"/>
            <w:sz w:val="32"/>
            <w:szCs w:val="32"/>
          </w:rPr>
          <w:t>https://en.wikipedia.org/wiki/Alendronic_acid</w:t>
        </w:r>
      </w:hyperlink>
    </w:p>
    <w:p w:rsidR="000474F3" w:rsidRPr="00B31892" w:rsidRDefault="000474F3" w:rsidP="000474F3">
      <w:pPr>
        <w:pStyle w:val="ListParagraph"/>
        <w:numPr>
          <w:ilvl w:val="0"/>
          <w:numId w:val="18"/>
        </w:numPr>
        <w:rPr>
          <w:rFonts w:ascii="Times New Roman" w:hAnsi="Times New Roman" w:cs="Times New Roman"/>
          <w:sz w:val="32"/>
          <w:szCs w:val="32"/>
        </w:rPr>
      </w:pPr>
      <w:hyperlink r:id="rId10" w:history="1">
        <w:r w:rsidRPr="000474F3">
          <w:rPr>
            <w:rStyle w:val="Hyperlink"/>
            <w:rFonts w:ascii="Times New Roman" w:hAnsi="Times New Roman" w:cs="Times New Roman"/>
            <w:sz w:val="32"/>
            <w:szCs w:val="32"/>
          </w:rPr>
          <w:t>https://reference.medscape.com/drug/fosamax-binosto-alendronate-342810</w:t>
        </w:r>
      </w:hyperlink>
    </w:p>
    <w:p w:rsidR="00B31892" w:rsidRPr="00B31892" w:rsidRDefault="00B31892" w:rsidP="00B31892">
      <w:pPr>
        <w:pStyle w:val="ListParagraph"/>
        <w:rPr>
          <w:rFonts w:ascii="Times New Roman" w:hAnsi="Times New Roman" w:cs="Times New Roman"/>
          <w:sz w:val="24"/>
          <w:szCs w:val="24"/>
        </w:rPr>
      </w:pPr>
      <w:bookmarkStart w:id="0" w:name="_GoBack"/>
      <w:bookmarkEnd w:id="0"/>
    </w:p>
    <w:sectPr w:rsidR="00B31892" w:rsidRPr="00B31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4D12"/>
    <w:multiLevelType w:val="multilevel"/>
    <w:tmpl w:val="BFD8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31915"/>
    <w:multiLevelType w:val="hybridMultilevel"/>
    <w:tmpl w:val="D67C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A7BDD"/>
    <w:multiLevelType w:val="hybridMultilevel"/>
    <w:tmpl w:val="4698C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61B70"/>
    <w:multiLevelType w:val="hybridMultilevel"/>
    <w:tmpl w:val="90187F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F78E4"/>
    <w:multiLevelType w:val="hybridMultilevel"/>
    <w:tmpl w:val="1C7AFF48"/>
    <w:lvl w:ilvl="0" w:tplc="E45C446C">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42F6916"/>
    <w:multiLevelType w:val="hybridMultilevel"/>
    <w:tmpl w:val="80AA9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B18B5"/>
    <w:multiLevelType w:val="multilevel"/>
    <w:tmpl w:val="23583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800BF"/>
    <w:multiLevelType w:val="hybridMultilevel"/>
    <w:tmpl w:val="9A5EB18C"/>
    <w:lvl w:ilvl="0" w:tplc="0409000B">
      <w:start w:val="1"/>
      <w:numFmt w:val="bullet"/>
      <w:lvlText w:val=""/>
      <w:lvlJc w:val="left"/>
      <w:pPr>
        <w:ind w:left="784" w:hanging="360"/>
      </w:pPr>
      <w:rPr>
        <w:rFonts w:ascii="Wingdings" w:hAnsi="Wingdings"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8" w15:restartNumberingAfterBreak="0">
    <w:nsid w:val="2B6D4089"/>
    <w:multiLevelType w:val="hybridMultilevel"/>
    <w:tmpl w:val="1DACCCA0"/>
    <w:lvl w:ilvl="0" w:tplc="0409000B">
      <w:start w:val="1"/>
      <w:numFmt w:val="bullet"/>
      <w:lvlText w:val=""/>
      <w:lvlJc w:val="left"/>
      <w:pPr>
        <w:ind w:left="784" w:hanging="360"/>
      </w:pPr>
      <w:rPr>
        <w:rFonts w:ascii="Wingdings" w:hAnsi="Wingdings"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9" w15:restartNumberingAfterBreak="0">
    <w:nsid w:val="33E75652"/>
    <w:multiLevelType w:val="hybridMultilevel"/>
    <w:tmpl w:val="B12EDEAA"/>
    <w:lvl w:ilvl="0" w:tplc="0409000B">
      <w:start w:val="1"/>
      <w:numFmt w:val="bullet"/>
      <w:lvlText w:val=""/>
      <w:lvlJc w:val="left"/>
      <w:pPr>
        <w:ind w:left="784" w:hanging="360"/>
      </w:pPr>
      <w:rPr>
        <w:rFonts w:ascii="Wingdings" w:hAnsi="Wingdings"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0" w15:restartNumberingAfterBreak="0">
    <w:nsid w:val="3F0733A7"/>
    <w:multiLevelType w:val="multilevel"/>
    <w:tmpl w:val="A026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AA4D8B"/>
    <w:multiLevelType w:val="hybridMultilevel"/>
    <w:tmpl w:val="142C4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E62416"/>
    <w:multiLevelType w:val="hybridMultilevel"/>
    <w:tmpl w:val="392A7CA4"/>
    <w:lvl w:ilvl="0" w:tplc="0409000B">
      <w:start w:val="1"/>
      <w:numFmt w:val="bullet"/>
      <w:lvlText w:val=""/>
      <w:lvlJc w:val="left"/>
      <w:pPr>
        <w:ind w:left="784" w:hanging="360"/>
      </w:pPr>
      <w:rPr>
        <w:rFonts w:ascii="Wingdings" w:hAnsi="Wingdings"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3" w15:restartNumberingAfterBreak="0">
    <w:nsid w:val="52500437"/>
    <w:multiLevelType w:val="hybridMultilevel"/>
    <w:tmpl w:val="CBECA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66556A"/>
    <w:multiLevelType w:val="hybridMultilevel"/>
    <w:tmpl w:val="F078C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043362"/>
    <w:multiLevelType w:val="hybridMultilevel"/>
    <w:tmpl w:val="F2F0A2F8"/>
    <w:lvl w:ilvl="0" w:tplc="0409000B">
      <w:start w:val="1"/>
      <w:numFmt w:val="bullet"/>
      <w:lvlText w:val=""/>
      <w:lvlJc w:val="left"/>
      <w:pPr>
        <w:ind w:left="784" w:hanging="360"/>
      </w:pPr>
      <w:rPr>
        <w:rFonts w:ascii="Wingdings" w:hAnsi="Wingdings"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6" w15:restartNumberingAfterBreak="0">
    <w:nsid w:val="6A505A6E"/>
    <w:multiLevelType w:val="hybridMultilevel"/>
    <w:tmpl w:val="637CF8C4"/>
    <w:lvl w:ilvl="0" w:tplc="E45C44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08A32FA"/>
    <w:multiLevelType w:val="hybridMultilevel"/>
    <w:tmpl w:val="99C4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4F044D"/>
    <w:multiLevelType w:val="hybridMultilevel"/>
    <w:tmpl w:val="1AD0E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7"/>
  </w:num>
  <w:num w:numId="4">
    <w:abstractNumId w:val="1"/>
  </w:num>
  <w:num w:numId="5">
    <w:abstractNumId w:val="14"/>
  </w:num>
  <w:num w:numId="6">
    <w:abstractNumId w:val="2"/>
  </w:num>
  <w:num w:numId="7">
    <w:abstractNumId w:val="18"/>
  </w:num>
  <w:num w:numId="8">
    <w:abstractNumId w:val="5"/>
  </w:num>
  <w:num w:numId="9">
    <w:abstractNumId w:val="6"/>
  </w:num>
  <w:num w:numId="10">
    <w:abstractNumId w:val="0"/>
  </w:num>
  <w:num w:numId="11">
    <w:abstractNumId w:val="10"/>
  </w:num>
  <w:num w:numId="12">
    <w:abstractNumId w:val="8"/>
  </w:num>
  <w:num w:numId="13">
    <w:abstractNumId w:val="7"/>
  </w:num>
  <w:num w:numId="14">
    <w:abstractNumId w:val="9"/>
  </w:num>
  <w:num w:numId="15">
    <w:abstractNumId w:val="15"/>
  </w:num>
  <w:num w:numId="16">
    <w:abstractNumId w:val="12"/>
  </w:num>
  <w:num w:numId="17">
    <w:abstractNumId w:val="16"/>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24E"/>
    <w:rsid w:val="000474F3"/>
    <w:rsid w:val="0013613A"/>
    <w:rsid w:val="001719A7"/>
    <w:rsid w:val="00210E28"/>
    <w:rsid w:val="0027691A"/>
    <w:rsid w:val="003229D6"/>
    <w:rsid w:val="00351B58"/>
    <w:rsid w:val="00410493"/>
    <w:rsid w:val="00454EB6"/>
    <w:rsid w:val="005B17EA"/>
    <w:rsid w:val="00600240"/>
    <w:rsid w:val="00690CC2"/>
    <w:rsid w:val="008C5F8C"/>
    <w:rsid w:val="00964384"/>
    <w:rsid w:val="00AA724E"/>
    <w:rsid w:val="00B31892"/>
    <w:rsid w:val="00B56D9A"/>
    <w:rsid w:val="00B7095C"/>
    <w:rsid w:val="00EC1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F1DB"/>
  <w15:chartTrackingRefBased/>
  <w15:docId w15:val="{5E9E2468-612F-49F1-8A15-59B13FB0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104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B17E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B17E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A72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A724E"/>
  </w:style>
  <w:style w:type="character" w:customStyle="1" w:styleId="eop">
    <w:name w:val="eop"/>
    <w:basedOn w:val="DefaultParagraphFont"/>
    <w:rsid w:val="00AA724E"/>
  </w:style>
  <w:style w:type="character" w:customStyle="1" w:styleId="scxw29618296">
    <w:name w:val="scxw29618296"/>
    <w:basedOn w:val="DefaultParagraphFont"/>
    <w:rsid w:val="00AA724E"/>
  </w:style>
  <w:style w:type="character" w:styleId="Hyperlink">
    <w:name w:val="Hyperlink"/>
    <w:basedOn w:val="DefaultParagraphFont"/>
    <w:uiPriority w:val="99"/>
    <w:unhideWhenUsed/>
    <w:rsid w:val="00B7095C"/>
    <w:rPr>
      <w:color w:val="0000FF"/>
      <w:u w:val="single"/>
    </w:rPr>
  </w:style>
  <w:style w:type="character" w:customStyle="1" w:styleId="Heading3Char">
    <w:name w:val="Heading 3 Char"/>
    <w:basedOn w:val="DefaultParagraphFont"/>
    <w:link w:val="Heading3"/>
    <w:uiPriority w:val="9"/>
    <w:rsid w:val="00410493"/>
    <w:rPr>
      <w:rFonts w:ascii="Times New Roman" w:eastAsia="Times New Roman" w:hAnsi="Times New Roman" w:cs="Times New Roman"/>
      <w:b/>
      <w:bCs/>
      <w:sz w:val="27"/>
      <w:szCs w:val="27"/>
    </w:rPr>
  </w:style>
  <w:style w:type="paragraph" w:styleId="NormalWeb">
    <w:name w:val="Normal (Web)"/>
    <w:basedOn w:val="Normal"/>
    <w:uiPriority w:val="99"/>
    <w:unhideWhenUsed/>
    <w:rsid w:val="004104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64384"/>
    <w:pPr>
      <w:ind w:left="720"/>
      <w:contextualSpacing/>
    </w:pPr>
  </w:style>
  <w:style w:type="table" w:styleId="TableGrid">
    <w:name w:val="Table Grid"/>
    <w:basedOn w:val="TableNormal"/>
    <w:uiPriority w:val="39"/>
    <w:rsid w:val="00964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EC17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EC17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5Dark-Accent5">
    <w:name w:val="List Table 5 Dark Accent 5"/>
    <w:basedOn w:val="TableNormal"/>
    <w:uiPriority w:val="50"/>
    <w:rsid w:val="00EC17D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6Colorful-Accent3">
    <w:name w:val="Grid Table 6 Colorful Accent 3"/>
    <w:basedOn w:val="TableNormal"/>
    <w:uiPriority w:val="51"/>
    <w:rsid w:val="00EC17D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semiHidden/>
    <w:rsid w:val="005B17E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B17EA"/>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789238">
      <w:bodyDiv w:val="1"/>
      <w:marLeft w:val="0"/>
      <w:marRight w:val="0"/>
      <w:marTop w:val="0"/>
      <w:marBottom w:val="0"/>
      <w:divBdr>
        <w:top w:val="none" w:sz="0" w:space="0" w:color="auto"/>
        <w:left w:val="none" w:sz="0" w:space="0" w:color="auto"/>
        <w:bottom w:val="none" w:sz="0" w:space="0" w:color="auto"/>
        <w:right w:val="none" w:sz="0" w:space="0" w:color="auto"/>
      </w:divBdr>
    </w:div>
    <w:div w:id="794638143">
      <w:bodyDiv w:val="1"/>
      <w:marLeft w:val="0"/>
      <w:marRight w:val="0"/>
      <w:marTop w:val="0"/>
      <w:marBottom w:val="0"/>
      <w:divBdr>
        <w:top w:val="none" w:sz="0" w:space="0" w:color="auto"/>
        <w:left w:val="none" w:sz="0" w:space="0" w:color="auto"/>
        <w:bottom w:val="none" w:sz="0" w:space="0" w:color="auto"/>
        <w:right w:val="none" w:sz="0" w:space="0" w:color="auto"/>
      </w:divBdr>
      <w:divsChild>
        <w:div w:id="660350292">
          <w:marLeft w:val="0"/>
          <w:marRight w:val="0"/>
          <w:marTop w:val="0"/>
          <w:marBottom w:val="0"/>
          <w:divBdr>
            <w:top w:val="none" w:sz="0" w:space="0" w:color="auto"/>
            <w:left w:val="none" w:sz="0" w:space="0" w:color="auto"/>
            <w:bottom w:val="none" w:sz="0" w:space="0" w:color="auto"/>
            <w:right w:val="none" w:sz="0" w:space="0" w:color="auto"/>
          </w:divBdr>
        </w:div>
        <w:div w:id="693775428">
          <w:marLeft w:val="0"/>
          <w:marRight w:val="0"/>
          <w:marTop w:val="0"/>
          <w:marBottom w:val="0"/>
          <w:divBdr>
            <w:top w:val="none" w:sz="0" w:space="0" w:color="auto"/>
            <w:left w:val="none" w:sz="0" w:space="0" w:color="auto"/>
            <w:bottom w:val="none" w:sz="0" w:space="0" w:color="auto"/>
            <w:right w:val="none" w:sz="0" w:space="0" w:color="auto"/>
          </w:divBdr>
        </w:div>
        <w:div w:id="831288893">
          <w:marLeft w:val="0"/>
          <w:marRight w:val="0"/>
          <w:marTop w:val="0"/>
          <w:marBottom w:val="0"/>
          <w:divBdr>
            <w:top w:val="none" w:sz="0" w:space="0" w:color="auto"/>
            <w:left w:val="none" w:sz="0" w:space="0" w:color="auto"/>
            <w:bottom w:val="none" w:sz="0" w:space="0" w:color="auto"/>
            <w:right w:val="none" w:sz="0" w:space="0" w:color="auto"/>
          </w:divBdr>
        </w:div>
        <w:div w:id="989796933">
          <w:marLeft w:val="0"/>
          <w:marRight w:val="0"/>
          <w:marTop w:val="0"/>
          <w:marBottom w:val="0"/>
          <w:divBdr>
            <w:top w:val="none" w:sz="0" w:space="0" w:color="auto"/>
            <w:left w:val="none" w:sz="0" w:space="0" w:color="auto"/>
            <w:bottom w:val="none" w:sz="0" w:space="0" w:color="auto"/>
            <w:right w:val="none" w:sz="0" w:space="0" w:color="auto"/>
          </w:divBdr>
        </w:div>
        <w:div w:id="1643077056">
          <w:marLeft w:val="0"/>
          <w:marRight w:val="0"/>
          <w:marTop w:val="0"/>
          <w:marBottom w:val="0"/>
          <w:divBdr>
            <w:top w:val="none" w:sz="0" w:space="0" w:color="auto"/>
            <w:left w:val="none" w:sz="0" w:space="0" w:color="auto"/>
            <w:bottom w:val="none" w:sz="0" w:space="0" w:color="auto"/>
            <w:right w:val="none" w:sz="0" w:space="0" w:color="auto"/>
          </w:divBdr>
        </w:div>
        <w:div w:id="1145511169">
          <w:marLeft w:val="0"/>
          <w:marRight w:val="0"/>
          <w:marTop w:val="0"/>
          <w:marBottom w:val="0"/>
          <w:divBdr>
            <w:top w:val="none" w:sz="0" w:space="0" w:color="auto"/>
            <w:left w:val="none" w:sz="0" w:space="0" w:color="auto"/>
            <w:bottom w:val="none" w:sz="0" w:space="0" w:color="auto"/>
            <w:right w:val="none" w:sz="0" w:space="0" w:color="auto"/>
          </w:divBdr>
        </w:div>
      </w:divsChild>
    </w:div>
    <w:div w:id="1073358830">
      <w:bodyDiv w:val="1"/>
      <w:marLeft w:val="0"/>
      <w:marRight w:val="0"/>
      <w:marTop w:val="0"/>
      <w:marBottom w:val="0"/>
      <w:divBdr>
        <w:top w:val="none" w:sz="0" w:space="0" w:color="auto"/>
        <w:left w:val="none" w:sz="0" w:space="0" w:color="auto"/>
        <w:bottom w:val="none" w:sz="0" w:space="0" w:color="auto"/>
        <w:right w:val="none" w:sz="0" w:space="0" w:color="auto"/>
      </w:divBdr>
    </w:div>
    <w:div w:id="1548564530">
      <w:bodyDiv w:val="1"/>
      <w:marLeft w:val="0"/>
      <w:marRight w:val="0"/>
      <w:marTop w:val="0"/>
      <w:marBottom w:val="0"/>
      <w:divBdr>
        <w:top w:val="none" w:sz="0" w:space="0" w:color="auto"/>
        <w:left w:val="none" w:sz="0" w:space="0" w:color="auto"/>
        <w:bottom w:val="none" w:sz="0" w:space="0" w:color="auto"/>
        <w:right w:val="none" w:sz="0" w:space="0" w:color="auto"/>
      </w:divBdr>
    </w:div>
    <w:div w:id="1887986205">
      <w:bodyDiv w:val="1"/>
      <w:marLeft w:val="0"/>
      <w:marRight w:val="0"/>
      <w:marTop w:val="0"/>
      <w:marBottom w:val="0"/>
      <w:divBdr>
        <w:top w:val="none" w:sz="0" w:space="0" w:color="auto"/>
        <w:left w:val="none" w:sz="0" w:space="0" w:color="auto"/>
        <w:bottom w:val="none" w:sz="0" w:space="0" w:color="auto"/>
        <w:right w:val="none" w:sz="0" w:space="0" w:color="auto"/>
      </w:divBdr>
    </w:div>
    <w:div w:id="1993753564">
      <w:bodyDiv w:val="1"/>
      <w:marLeft w:val="0"/>
      <w:marRight w:val="0"/>
      <w:marTop w:val="0"/>
      <w:marBottom w:val="0"/>
      <w:divBdr>
        <w:top w:val="none" w:sz="0" w:space="0" w:color="auto"/>
        <w:left w:val="none" w:sz="0" w:space="0" w:color="auto"/>
        <w:bottom w:val="none" w:sz="0" w:space="0" w:color="auto"/>
        <w:right w:val="none" w:sz="0" w:space="0" w:color="auto"/>
      </w:divBdr>
    </w:div>
    <w:div w:id="2028677139">
      <w:bodyDiv w:val="1"/>
      <w:marLeft w:val="0"/>
      <w:marRight w:val="0"/>
      <w:marTop w:val="0"/>
      <w:marBottom w:val="0"/>
      <w:divBdr>
        <w:top w:val="none" w:sz="0" w:space="0" w:color="auto"/>
        <w:left w:val="none" w:sz="0" w:space="0" w:color="auto"/>
        <w:bottom w:val="none" w:sz="0" w:space="0" w:color="auto"/>
        <w:right w:val="none" w:sz="0" w:space="0" w:color="auto"/>
      </w:divBdr>
    </w:div>
    <w:div w:id="207057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reference.medscape.com/drug/fosamax-binosto-alendronate-342810" TargetMode="External"/><Relationship Id="rId4" Type="http://schemas.openxmlformats.org/officeDocument/2006/relationships/webSettings" Target="webSettings.xml"/><Relationship Id="rId9" Type="http://schemas.openxmlformats.org/officeDocument/2006/relationships/hyperlink" Target="https://en.wikipedia.org/wiki/Alendronic_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6</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BunTy</dc:creator>
  <cp:keywords/>
  <dc:description/>
  <cp:lastModifiedBy>Hammad BunTy</cp:lastModifiedBy>
  <cp:revision>1</cp:revision>
  <dcterms:created xsi:type="dcterms:W3CDTF">2025-06-13T20:11:00Z</dcterms:created>
  <dcterms:modified xsi:type="dcterms:W3CDTF">2025-06-14T04:56:00Z</dcterms:modified>
</cp:coreProperties>
</file>