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r>
        <w:rPr>
          <w:vertAlign w:val="superscript"/>
        </w:rPr>
        <w:endnoteReference w:id="2"/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endnoteSeparator/>
      </w:r>
    </w:p>
  </w:endnote>
  <w:endnote w:type="continuationSeparator" w:id="0">
    <w:p>
      <w:r>
        <w:endnoteContinuationSeparator/>
      </w:r>
    </w:p>
  </w:endnote>
  <w:endnote w:id="2">
    <w:p>
      <w:pPr>
        <w:spacing w:line="240" w:lineRule="auto" w:before="0" w:after="0"/>
      </w:pPr>
      <w:r>
        <w:rPr>
          <w:rFonts w:ascii="Times New Roman" w:hAnsi="Times New Roman"/>
          <w:sz w:val="20"/>
        </w:rPr>
        <w:t>Endnote diagnostic visible content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ThesisGuardEndnotesAudit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