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  <w:r>
        <w:rPr>
          <w:vertAlign w:val="superscript"/>
        </w:rPr>
        <w:footnoteReference w:id="2"/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footnoteSeparator/>
      </w:r>
    </w:p>
  </w:footnote>
  <w:footnote w:type="continuationSeparator" w:id="0">
    <w:p>
      <w:r>
        <w:footnoteContinuationSeparator/>
      </w:r>
    </w:p>
  </w:footnote>
  <w:footnote w:id="2">
    <w:p>
      <w:pPr>
        <w:spacing w:line="240" w:lineRule="auto" w:before="0" w:after="0"/>
      </w:pPr>
      <w:r>
        <w:rPr>
          <w:rFonts w:ascii="Times New Roman" w:hAnsi="Times New Roman"/>
          <w:sz w:val="24"/>
        </w:rPr>
        <w:t>TG_FOOTNOTE_ONLY_KAYNAKLAR_MARKER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ThesisGuardFootnotesAudit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