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  <w:r>
        <w:rPr>
          <w:vertAlign w:val="superscript"/>
        </w:rPr>
        <w:footnoteReference w:id="2"/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r>
        <w:footnoteSeparator/>
      </w:r>
    </w:p>
  </w:footnote>
  <w:footnote w:type="continuationSeparator" w:id="0">
    <w:p>
      <w:r>
        <w:footnoteContinuationSeparator/>
      </w:r>
    </w:p>
  </w:footnote>
  <w:footnote w:id="2">
    <w:p>
      <w:pPr>
        <w:spacing w:line="240" w:lineRule="auto" w:before="0" w:after="0"/>
      </w:pPr>
      <w:r>
        <w:rPr>
          <w:rFonts w:ascii="Times New Roman" w:hAnsi="Times New Roman"/>
          <w:sz w:val="20"/>
        </w:rPr>
        <w:t>Footnote diagnostic visible content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ThesisGuardFootnotesAudit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