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/>
          <w:sz w:val="24"/>
        </w:rPr>
        <w:pict>
          <v:shape id="textbox-audit-shape" type="#_x0000_t202" style="position:absolute;width:200pt;height:40pt">
            <v:textbox>
              <w:txbxContent>
                <w:p>
                  <w:pPr>
                    <w:spacing w:line="360" w:lineRule="auto" w:before="0" w:after="0"/>
                    <w:ind w:firstLine="850"/>
                    <w:jc w:val="both"/>
                  </w:pPr>
                  <w:r>
                    <w:rPr>
                      <w:rFonts w:ascii="Times New Roman" w:hAnsi="Times New Roman"/>
                      <w:sz w:val="22"/>
                    </w:rPr>
                    <w:t>Textbox diagnostic content</w:t>
                  </w:r>
                </w:p>
              </w:txbxContent>
            </v:textbox>
          </v:shape>
        </w:pic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