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mc:AlternateContent>
        <mc:Choice Requires="wps">
          <w:r>
            <w:drawing>
              <wp:inline xmlns:a="http://schemas.openxmlformats.org/drawingml/2006/main" xmlns:pic="http://schemas.openxmlformats.org/drawingml/2006/picture">
                <wp:extent cx="2880000" cy="13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hesisguard-figure-1.png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13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mc:Choice>
        <mc:Fallback>
          <w:r>
            <w:drawing>
              <wp:inline xmlns:a="http://schemas.openxmlformats.org/drawingml/2006/main" xmlns:pic="http://schemas.openxmlformats.org/drawingml/2006/picture">
                <wp:extent cx="2880000" cy="13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hesisguard-figure-1.png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13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mc:Fallback>
      </mc:AlternateContent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