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p>
      <w:pPr>
        <w:jc w:val="center"/>
        <w:spacing w:line="360" w:lineRule="auto"/>
      </w:pPr>
      <w:r>
        <w:drawing>
          <wp:inline>
            <wp:extent cx="914400" cy="914400"/>
            <wp:docPr id="901" name="ThesisGuard Audit Object"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AuditDiagramData" r:lo="rIdAuditLayout" r:qs="rIdAuditQuickStyle" r:cs="rIdAuditColors"/>
              </a:graphicData>
            </a:graphic>
          </wp:inline>
        </w:drawing>
      </w:r>
    </w:p>
    <w:p>
      <w:pPr>
        <w:jc w:val="left"/>
        <w:spacing w:line="240" w:lineRule="auto"/>
      </w:pPr>
      <w:r>
        <w:rPr>
          <w:rFonts w:ascii="Times New Roman" w:hAnsi="Times New Roman"/>
          <w:sz w:val="24"/>
        </w:rPr>
        <w:t xml:space="preserve">Şekil 99. Audit SmartArt başlığı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AuditDiagramData" Type="http://schemas.openxmlformats.org/officeDocument/2006/relationships/diagramData" Target="diagrams/data1.xml"/></Relationships>
</file>

<file path=word/diagrams/data1.xml><?xml version="1.0" encoding="utf-8"?>
<dgm:dataModel xmlns:dgm="http://schemas.openxmlformats.org/drawingml/2006/diagram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