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2"/>
      </w:tblGrid>
      <w:tr w:rsidR="00A478A0" w:rsidTr="00CB79BF">
        <w:tblPrEx>
          <w:tblCellMar>
            <w:top w:w="0" w:type="dxa"/>
            <w:bottom w:w="0" w:type="dxa"/>
          </w:tblCellMar>
        </w:tblPrEx>
        <w:tc>
          <w:tcPr>
            <w:tcW w:w="10632"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A478A0" w:rsidRDefault="00A478A0"/>
        </w:tc>
      </w:tr>
    </w:tbl>
    <w:p w:rsidR="00A478A0" w:rsidRDefault="00E9042B">
      <w:pPr>
        <w:spacing w:after="20"/>
        <w:jc w:val="left"/>
      </w:pPr>
      <w:r>
        <w:rPr>
          <w:b/>
          <w:bCs/>
          <w:color w:val="051C2C"/>
          <w:sz w:val="56"/>
          <w:szCs w:val="56"/>
        </w:rPr>
        <w:t>Loan Monitoring</w:t>
      </w:r>
    </w:p>
    <w:p w:rsidR="00A478A0" w:rsidRDefault="00E9042B">
      <w:pPr>
        <w:spacing w:after="60"/>
        <w:jc w:val="left"/>
      </w:pPr>
      <w:r>
        <w:rPr>
          <w:b/>
          <w:bCs/>
          <w:color w:val="8B3A00"/>
          <w:sz w:val="56"/>
          <w:szCs w:val="56"/>
        </w:rPr>
        <w:t>Performance Report</w:t>
      </w:r>
    </w:p>
    <w:p w:rsidR="00A478A0" w:rsidRDefault="00E9042B">
      <w:pPr>
        <w:pBdr>
          <w:bottom w:val="single" w:sz="6" w:space="6" w:color="E0E0E0"/>
        </w:pBdr>
        <w:spacing w:after="40"/>
      </w:pPr>
      <w:r>
        <w:rPr>
          <w:i/>
          <w:iCs/>
          <w:szCs w:val="21"/>
        </w:rPr>
        <w:t>A Comprehensive Analysis of Portfolio Health, Risk Classification, and Early Warning Intelligence</w:t>
      </w:r>
    </w:p>
    <w:p w:rsidR="00A478A0" w:rsidRDefault="00A478A0"/>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680"/>
      </w:tblGrid>
      <w:tr w:rsidR="00A478A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E9042B">
            <w:pPr>
              <w:spacing w:before="80" w:after="80"/>
            </w:pPr>
            <w:r>
              <w:rPr>
                <w:b/>
                <w:bCs/>
                <w:color w:val="051C2C"/>
                <w:sz w:val="18"/>
                <w:szCs w:val="18"/>
              </w:rPr>
              <w:t>Prepared by</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A478A0" w:rsidRDefault="00E9042B">
            <w:pPr>
              <w:spacing w:before="80" w:after="80"/>
            </w:pPr>
            <w:r>
              <w:rPr>
                <w:sz w:val="18"/>
                <w:szCs w:val="18"/>
              </w:rPr>
              <w:t xml:space="preserve">Ismail </w:t>
            </w:r>
            <w:proofErr w:type="spellStart"/>
            <w:r>
              <w:rPr>
                <w:sz w:val="18"/>
                <w:szCs w:val="18"/>
              </w:rPr>
              <w:t>Olayinka</w:t>
            </w:r>
            <w:proofErr w:type="spellEnd"/>
          </w:p>
        </w:tc>
      </w:tr>
      <w:tr w:rsidR="00A478A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E9042B">
            <w:pPr>
              <w:spacing w:before="80" w:after="80"/>
            </w:pPr>
            <w:r>
              <w:rPr>
                <w:b/>
                <w:bCs/>
                <w:color w:val="051C2C"/>
                <w:sz w:val="18"/>
                <w:szCs w:val="18"/>
              </w:rPr>
              <w:t>Institution</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A478A0" w:rsidRDefault="00E9042B">
            <w:pPr>
              <w:spacing w:before="80" w:after="80"/>
            </w:pPr>
            <w:proofErr w:type="spellStart"/>
            <w:r>
              <w:rPr>
                <w:sz w:val="18"/>
                <w:szCs w:val="18"/>
              </w:rPr>
              <w:t>SafeLoan</w:t>
            </w:r>
            <w:proofErr w:type="spellEnd"/>
            <w:r>
              <w:rPr>
                <w:sz w:val="18"/>
                <w:szCs w:val="18"/>
              </w:rPr>
              <w:t xml:space="preserve"> Risk Monitor</w:t>
            </w:r>
          </w:p>
        </w:tc>
      </w:tr>
      <w:tr w:rsidR="00A478A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E9042B">
            <w:pPr>
              <w:spacing w:before="80" w:after="80"/>
            </w:pPr>
            <w:r>
              <w:rPr>
                <w:b/>
                <w:bCs/>
                <w:color w:val="051C2C"/>
                <w:sz w:val="18"/>
                <w:szCs w:val="18"/>
              </w:rPr>
              <w:t>Date</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A478A0" w:rsidRDefault="00E9042B">
            <w:pPr>
              <w:spacing w:before="80" w:after="80"/>
            </w:pPr>
            <w:r>
              <w:rPr>
                <w:sz w:val="18"/>
                <w:szCs w:val="18"/>
              </w:rPr>
              <w:t>March 24, 2026</w:t>
            </w:r>
          </w:p>
        </w:tc>
      </w:tr>
      <w:tr w:rsidR="00A478A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E9042B">
            <w:pPr>
              <w:spacing w:before="80" w:after="80"/>
            </w:pPr>
            <w:r>
              <w:rPr>
                <w:b/>
                <w:bCs/>
                <w:color w:val="051C2C"/>
                <w:sz w:val="18"/>
                <w:szCs w:val="18"/>
              </w:rPr>
              <w:t>Classification</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A478A0" w:rsidRDefault="00E9042B">
            <w:pPr>
              <w:spacing w:before="80" w:after="80"/>
            </w:pPr>
            <w:r>
              <w:rPr>
                <w:sz w:val="18"/>
                <w:szCs w:val="18"/>
              </w:rPr>
              <w:t>Confidential — Management Use Only</w:t>
            </w:r>
          </w:p>
        </w:tc>
      </w:tr>
      <w:tr w:rsidR="00A478A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E9042B">
            <w:pPr>
              <w:spacing w:before="80" w:after="80"/>
            </w:pPr>
            <w:r>
              <w:rPr>
                <w:b/>
                <w:bCs/>
                <w:color w:val="051C2C"/>
                <w:sz w:val="18"/>
                <w:szCs w:val="18"/>
              </w:rPr>
              <w:t>Dataset</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A478A0" w:rsidRDefault="00E9042B">
            <w:pPr>
              <w:spacing w:before="80" w:after="80"/>
            </w:pPr>
            <w:r>
              <w:rPr>
                <w:sz w:val="18"/>
                <w:szCs w:val="18"/>
              </w:rPr>
              <w:t>30,000 Loan Records across 10 Branches</w:t>
            </w:r>
          </w:p>
        </w:tc>
      </w:tr>
      <w:tr w:rsidR="00A478A0">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E9042B">
            <w:pPr>
              <w:spacing w:before="80" w:after="80"/>
            </w:pPr>
            <w:r>
              <w:rPr>
                <w:b/>
                <w:bCs/>
                <w:color w:val="051C2C"/>
                <w:sz w:val="18"/>
                <w:szCs w:val="18"/>
              </w:rPr>
              <w:t>Tools</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A478A0" w:rsidRDefault="00E9042B">
            <w:pPr>
              <w:spacing w:before="80" w:after="80"/>
            </w:pPr>
            <w:r>
              <w:rPr>
                <w:sz w:val="18"/>
                <w:szCs w:val="18"/>
              </w:rPr>
              <w:t>Mi</w:t>
            </w:r>
            <w:r w:rsidR="000126B9">
              <w:rPr>
                <w:sz w:val="18"/>
                <w:szCs w:val="18"/>
              </w:rPr>
              <w:t>crosoft Excel • Power BI</w:t>
            </w:r>
          </w:p>
        </w:tc>
      </w:tr>
    </w:tbl>
    <w:p w:rsidR="00A478A0" w:rsidRDefault="00A478A0"/>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3470"/>
      </w:tblGrid>
      <w:tr w:rsidR="00A478A0" w:rsidTr="00CB79BF">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E9042B">
            <w:pPr>
              <w:spacing w:before="60" w:after="10"/>
              <w:jc w:val="center"/>
            </w:pPr>
            <w:r>
              <w:rPr>
                <w:b/>
                <w:bCs/>
                <w:color w:val="051C2C"/>
                <w:sz w:val="36"/>
                <w:szCs w:val="36"/>
              </w:rPr>
              <w:t>₦732.17bn</w:t>
            </w:r>
          </w:p>
          <w:p w:rsidR="00A478A0" w:rsidRDefault="00E9042B">
            <w:pPr>
              <w:spacing w:after="60"/>
              <w:jc w:val="center"/>
            </w:pPr>
            <w:r>
              <w:rPr>
                <w:color w:val="767676"/>
                <w:sz w:val="16"/>
                <w:szCs w:val="16"/>
              </w:rPr>
              <w:t>Total Portfolio Outstanding</w:t>
            </w:r>
          </w:p>
        </w:tc>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E9042B">
            <w:pPr>
              <w:spacing w:before="60" w:after="10"/>
              <w:jc w:val="center"/>
            </w:pPr>
            <w:r>
              <w:rPr>
                <w:b/>
                <w:bCs/>
                <w:color w:val="C0392B"/>
                <w:sz w:val="36"/>
                <w:szCs w:val="36"/>
              </w:rPr>
              <w:t>17.2%</w:t>
            </w:r>
          </w:p>
          <w:p w:rsidR="00A478A0" w:rsidRDefault="00E9042B">
            <w:pPr>
              <w:spacing w:after="60"/>
              <w:jc w:val="center"/>
            </w:pPr>
            <w:r>
              <w:rPr>
                <w:color w:val="767676"/>
                <w:sz w:val="16"/>
                <w:szCs w:val="16"/>
              </w:rPr>
              <w:t>NPL Ratio</w:t>
            </w:r>
          </w:p>
        </w:tc>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E9042B">
            <w:pPr>
              <w:spacing w:before="60" w:after="10"/>
              <w:jc w:val="center"/>
            </w:pPr>
            <w:r>
              <w:rPr>
                <w:b/>
                <w:bCs/>
                <w:color w:val="8B3A00"/>
                <w:sz w:val="36"/>
                <w:szCs w:val="36"/>
              </w:rPr>
              <w:t>₦194.61bn</w:t>
            </w:r>
          </w:p>
          <w:p w:rsidR="00A478A0" w:rsidRDefault="00E9042B">
            <w:pPr>
              <w:spacing w:after="60"/>
              <w:jc w:val="center"/>
            </w:pPr>
            <w:r>
              <w:rPr>
                <w:color w:val="767676"/>
                <w:sz w:val="16"/>
                <w:szCs w:val="16"/>
              </w:rPr>
              <w:t>Total Provision</w:t>
            </w:r>
          </w:p>
        </w:tc>
        <w:tc>
          <w:tcPr>
            <w:tcW w:w="347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rsidR="00A478A0" w:rsidRDefault="00266072">
            <w:pPr>
              <w:spacing w:before="60" w:after="10"/>
              <w:jc w:val="center"/>
            </w:pPr>
            <w:r>
              <w:rPr>
                <w:b/>
                <w:bCs/>
                <w:color w:val="C0392B"/>
                <w:sz w:val="36"/>
                <w:szCs w:val="36"/>
              </w:rPr>
              <w:t>11,907</w:t>
            </w:r>
          </w:p>
          <w:p w:rsidR="00A478A0" w:rsidRDefault="00E9042B">
            <w:pPr>
              <w:spacing w:after="60"/>
              <w:jc w:val="center"/>
            </w:pPr>
            <w:r>
              <w:rPr>
                <w:color w:val="767676"/>
                <w:sz w:val="16"/>
                <w:szCs w:val="16"/>
              </w:rPr>
              <w:t>Active Alerts</w:t>
            </w:r>
          </w:p>
        </w:tc>
      </w:tr>
    </w:tbl>
    <w:p w:rsidR="00266072" w:rsidRDefault="00266072">
      <w:pPr>
        <w:jc w:val="left"/>
        <w:rPr>
          <w:b/>
          <w:bCs/>
          <w:color w:val="051C2C"/>
          <w:spacing w:val="80"/>
          <w:sz w:val="28"/>
          <w:szCs w:val="28"/>
        </w:rPr>
      </w:pPr>
      <w:r>
        <w:rPr>
          <w:spacing w:val="80"/>
        </w:rPr>
        <w:br w:type="page"/>
      </w:r>
    </w:p>
    <w:p w:rsidR="00A478A0" w:rsidRDefault="00E9042B">
      <w:pPr>
        <w:pStyle w:val="Heading11"/>
        <w:pBdr>
          <w:bottom w:val="single" w:sz="12" w:space="6" w:color="051C2C"/>
        </w:pBdr>
      </w:pPr>
      <w:r>
        <w:rPr>
          <w:spacing w:val="80"/>
        </w:rPr>
        <w:lastRenderedPageBreak/>
        <w:t>TABLE OF CONTENTS</w:t>
      </w:r>
    </w:p>
    <w:p w:rsidR="00A478A0" w:rsidRDefault="00A478A0"/>
    <w:p w:rsidR="00A478A0" w:rsidRDefault="00E9042B">
      <w:pPr>
        <w:tabs>
          <w:tab w:val="right" w:pos="9360"/>
        </w:tabs>
        <w:spacing w:before="80" w:after="80"/>
      </w:pPr>
      <w:r>
        <w:rPr>
          <w:sz w:val="20"/>
        </w:rPr>
        <w:t>1.  Executive Summary</w:t>
      </w:r>
      <w:r>
        <w:tab/>
      </w:r>
      <w:r>
        <w:rPr>
          <w:b/>
          <w:bCs/>
          <w:color w:val="8B3A00"/>
          <w:sz w:val="20"/>
        </w:rPr>
        <w:t>3</w:t>
      </w:r>
    </w:p>
    <w:p w:rsidR="00A478A0" w:rsidRDefault="00E9042B">
      <w:pPr>
        <w:tabs>
          <w:tab w:val="right" w:pos="9360"/>
        </w:tabs>
        <w:spacing w:before="80" w:after="80"/>
      </w:pPr>
      <w:r>
        <w:rPr>
          <w:sz w:val="20"/>
        </w:rPr>
        <w:t>2.  Project Overview</w:t>
      </w:r>
      <w:r>
        <w:tab/>
      </w:r>
      <w:r>
        <w:rPr>
          <w:b/>
          <w:bCs/>
          <w:color w:val="8B3A00"/>
          <w:sz w:val="20"/>
        </w:rPr>
        <w:t>4</w:t>
      </w:r>
    </w:p>
    <w:p w:rsidR="00A478A0" w:rsidRDefault="00E9042B">
      <w:pPr>
        <w:tabs>
          <w:tab w:val="right" w:pos="9360"/>
        </w:tabs>
        <w:spacing w:before="80" w:after="80"/>
      </w:pPr>
      <w:r>
        <w:rPr>
          <w:sz w:val="20"/>
        </w:rPr>
        <w:t>3.  Data Description</w:t>
      </w:r>
      <w:r>
        <w:tab/>
      </w:r>
      <w:r>
        <w:rPr>
          <w:b/>
          <w:bCs/>
          <w:color w:val="8B3A00"/>
          <w:sz w:val="20"/>
        </w:rPr>
        <w:t>4</w:t>
      </w:r>
    </w:p>
    <w:p w:rsidR="00A478A0" w:rsidRDefault="00E9042B">
      <w:pPr>
        <w:tabs>
          <w:tab w:val="right" w:pos="9360"/>
        </w:tabs>
        <w:spacing w:before="80" w:after="80"/>
      </w:pPr>
      <w:r>
        <w:rPr>
          <w:sz w:val="20"/>
        </w:rPr>
        <w:t>4.  Data Cleaning &amp; Transformation</w:t>
      </w:r>
      <w:r>
        <w:tab/>
      </w:r>
      <w:r>
        <w:rPr>
          <w:b/>
          <w:bCs/>
          <w:color w:val="8B3A00"/>
          <w:sz w:val="20"/>
        </w:rPr>
        <w:t>6</w:t>
      </w:r>
    </w:p>
    <w:p w:rsidR="00A478A0" w:rsidRDefault="00E9042B">
      <w:pPr>
        <w:tabs>
          <w:tab w:val="right" w:pos="9360"/>
        </w:tabs>
        <w:spacing w:before="80" w:after="80"/>
      </w:pPr>
      <w:r>
        <w:rPr>
          <w:sz w:val="20"/>
        </w:rPr>
        <w:t>5.  Dashboard Development</w:t>
      </w:r>
      <w:r>
        <w:tab/>
      </w:r>
      <w:r>
        <w:rPr>
          <w:b/>
          <w:bCs/>
          <w:color w:val="8B3A00"/>
          <w:sz w:val="20"/>
        </w:rPr>
        <w:t>7</w:t>
      </w:r>
    </w:p>
    <w:p w:rsidR="00A478A0" w:rsidRDefault="00E9042B">
      <w:pPr>
        <w:tabs>
          <w:tab w:val="right" w:pos="9360"/>
        </w:tabs>
        <w:spacing w:before="80" w:after="80"/>
      </w:pPr>
      <w:r>
        <w:rPr>
          <w:sz w:val="20"/>
        </w:rPr>
        <w:t>6.  Key Findings &amp; Insights</w:t>
      </w:r>
      <w:r>
        <w:tab/>
      </w:r>
      <w:r>
        <w:rPr>
          <w:b/>
          <w:bCs/>
          <w:color w:val="8B3A00"/>
          <w:sz w:val="20"/>
        </w:rPr>
        <w:t>9</w:t>
      </w:r>
    </w:p>
    <w:p w:rsidR="00A478A0" w:rsidRDefault="00E9042B">
      <w:pPr>
        <w:tabs>
          <w:tab w:val="right" w:pos="9360"/>
        </w:tabs>
        <w:spacing w:before="80" w:after="80"/>
      </w:pPr>
      <w:r>
        <w:rPr>
          <w:sz w:val="20"/>
        </w:rPr>
        <w:t>7.  Recommendations</w:t>
      </w:r>
      <w:r>
        <w:tab/>
      </w:r>
      <w:r w:rsidR="007039BB">
        <w:rPr>
          <w:b/>
          <w:bCs/>
          <w:color w:val="8B3A00"/>
          <w:sz w:val="20"/>
        </w:rPr>
        <w:t>10</w:t>
      </w:r>
    </w:p>
    <w:p w:rsidR="00A478A0" w:rsidRDefault="00E9042B">
      <w:pPr>
        <w:tabs>
          <w:tab w:val="right" w:pos="9360"/>
        </w:tabs>
        <w:spacing w:before="80" w:after="80"/>
      </w:pPr>
      <w:r>
        <w:rPr>
          <w:sz w:val="20"/>
        </w:rPr>
        <w:t>8.  Conclusion</w:t>
      </w:r>
      <w:r>
        <w:tab/>
      </w:r>
      <w:r w:rsidR="007039BB">
        <w:rPr>
          <w:b/>
          <w:bCs/>
          <w:color w:val="8B3A00"/>
          <w:sz w:val="20"/>
        </w:rPr>
        <w:t>11</w:t>
      </w:r>
    </w:p>
    <w:p w:rsidR="00A478A0" w:rsidRDefault="00E9042B">
      <w:r>
        <w:br w:type="page"/>
      </w:r>
    </w:p>
    <w:p w:rsidR="00A478A0" w:rsidRDefault="00E9042B">
      <w:pPr>
        <w:pStyle w:val="Heading11"/>
        <w:pBdr>
          <w:bottom w:val="single" w:sz="12" w:space="6" w:color="051C2C"/>
        </w:pBdr>
      </w:pPr>
      <w:r>
        <w:rPr>
          <w:spacing w:val="80"/>
        </w:rPr>
        <w:lastRenderedPageBreak/>
        <w:t>1. EXECUTIVE SUMMARY</w:t>
      </w:r>
    </w:p>
    <w:p w:rsidR="00A478A0" w:rsidRDefault="00E9042B" w:rsidP="00440623">
      <w:pPr>
        <w:spacing w:after="120" w:line="276" w:lineRule="auto"/>
      </w:pPr>
      <w:r>
        <w:rPr>
          <w:sz w:val="20"/>
        </w:rPr>
        <w:t>This report presents the finding</w:t>
      </w:r>
      <w:r w:rsidR="000126B9">
        <w:rPr>
          <w:sz w:val="20"/>
        </w:rPr>
        <w:t>s of a comprehensive loan</w:t>
      </w:r>
      <w:r>
        <w:rPr>
          <w:sz w:val="20"/>
        </w:rPr>
        <w:t xml:space="preserve"> monitoring exercise conducted on a simulated portfolio of 30,000 loan accounts across ten branches of a Nigerian financial institution. The analysis was conducted using Microsoft Excel as the primary data and computation engine, and Microsoft Power BI for interactive dashboard development and management reporting.</w:t>
      </w:r>
    </w:p>
    <w:p w:rsidR="00A478A0" w:rsidRDefault="00E9042B">
      <w:pPr>
        <w:spacing w:after="120" w:line="276" w:lineRule="auto"/>
      </w:pPr>
      <w:r>
        <w:rPr>
          <w:sz w:val="20"/>
        </w:rPr>
        <w:t xml:space="preserve">The portfolio carries a principal loan book of ₦1.397 trillion, with ₦732.17 billion currently outstanding and ₦664.45 billion recovered in repayments to date, representing a 47.6% repayment rate. However, the portfolio is under significant stress: </w:t>
      </w:r>
      <w:r w:rsidR="00671C6A">
        <w:rPr>
          <w:sz w:val="20"/>
        </w:rPr>
        <w:t>The</w:t>
      </w:r>
      <w:r>
        <w:rPr>
          <w:sz w:val="20"/>
        </w:rPr>
        <w:t xml:space="preserve"> Non-Performing Loan (NPL) ratio of 17.2% is 3.44 times the CBN regulatory ceiling of 5% and 2.46 times the current Nigerian banking industry average of 7% as reported by the CBN</w:t>
      </w:r>
      <w:r w:rsidR="00671C6A">
        <w:rPr>
          <w:sz w:val="20"/>
        </w:rPr>
        <w:t xml:space="preserve"> in 2025.</w:t>
      </w:r>
      <w:r>
        <w:rPr>
          <w:sz w:val="20"/>
        </w:rPr>
        <w:t xml:space="preserve"> </w:t>
      </w:r>
      <w:r w:rsidR="00671C6A">
        <w:rPr>
          <w:sz w:val="20"/>
        </w:rPr>
        <w:t>(Source: Punch)</w:t>
      </w:r>
    </w:p>
    <w:p w:rsidR="00A478A0" w:rsidRDefault="00A478A0"/>
    <w:tbl>
      <w:tblPr>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
        <w:gridCol w:w="10386"/>
      </w:tblGrid>
      <w:tr w:rsidR="00A478A0" w:rsidTr="00CB79BF">
        <w:tblPrEx>
          <w:tblCellMar>
            <w:top w:w="0" w:type="dxa"/>
            <w:bottom w:w="0" w:type="dxa"/>
          </w:tblCellMar>
        </w:tblPrEx>
        <w:tc>
          <w:tcPr>
            <w:tcW w:w="246" w:type="dxa"/>
            <w:tcBorders>
              <w:top w:val="none" w:sz="0" w:space="0" w:color="FFFFFF"/>
              <w:left w:val="none" w:sz="0" w:space="0" w:color="FFFFFF"/>
              <w:bottom w:val="none" w:sz="0" w:space="0" w:color="FFFFFF"/>
              <w:right w:val="none" w:sz="0" w:space="0" w:color="FFFFFF"/>
            </w:tcBorders>
            <w:shd w:val="clear" w:color="auto" w:fill="8B3A00"/>
            <w:tcMar>
              <w:top w:w="80" w:type="dxa"/>
              <w:left w:w="120" w:type="dxa"/>
              <w:bottom w:w="80" w:type="dxa"/>
              <w:right w:w="120" w:type="dxa"/>
            </w:tcMar>
          </w:tcPr>
          <w:p w:rsidR="00A478A0" w:rsidRDefault="00A478A0"/>
        </w:tc>
        <w:tc>
          <w:tcPr>
            <w:tcW w:w="10386" w:type="dxa"/>
            <w:tcBorders>
              <w:top w:val="none" w:sz="0" w:space="0" w:color="FFFFFF"/>
              <w:left w:val="none" w:sz="0" w:space="0" w:color="FFFFFF"/>
              <w:bottom w:val="none" w:sz="0" w:space="0" w:color="FFFFFF"/>
              <w:right w:val="none" w:sz="0" w:space="0" w:color="FFFFFF"/>
            </w:tcBorders>
            <w:shd w:val="clear" w:color="auto" w:fill="F5EBE0"/>
            <w:tcMar>
              <w:top w:w="80" w:type="dxa"/>
              <w:left w:w="120" w:type="dxa"/>
              <w:bottom w:w="80" w:type="dxa"/>
              <w:right w:w="120" w:type="dxa"/>
            </w:tcMar>
          </w:tcPr>
          <w:p w:rsidR="00A478A0" w:rsidRDefault="00E9042B">
            <w:pPr>
              <w:spacing w:before="60" w:after="30"/>
            </w:pPr>
            <w:r>
              <w:rPr>
                <w:b/>
                <w:bCs/>
                <w:color w:val="051C2C"/>
                <w:sz w:val="19"/>
                <w:szCs w:val="19"/>
              </w:rPr>
              <w:t>Critical Finding</w:t>
            </w:r>
          </w:p>
          <w:p w:rsidR="00A478A0" w:rsidRDefault="00E9042B">
            <w:pPr>
              <w:spacing w:before="20" w:after="60"/>
            </w:pPr>
            <w:r>
              <w:rPr>
                <w:sz w:val="18"/>
                <w:szCs w:val="18"/>
              </w:rPr>
              <w:t>The NPL ratio of 17.2% constitutes a systemic failure that, in a real licensed institution, would trigger mandatory CBN regulatory intervention, heightened supervision, and a Remedial Management Plan submission within 30 days. Immediate board-level escalation is required.</w:t>
            </w:r>
          </w:p>
        </w:tc>
      </w:tr>
    </w:tbl>
    <w:p w:rsidR="00A478A0" w:rsidRDefault="00A478A0"/>
    <w:p w:rsidR="00A478A0" w:rsidRDefault="00E9042B">
      <w:pPr>
        <w:spacing w:before="180" w:after="60"/>
      </w:pPr>
      <w:r>
        <w:rPr>
          <w:b/>
          <w:bCs/>
          <w:color w:val="8B3A00"/>
          <w:sz w:val="20"/>
        </w:rPr>
        <w:t>Portfolio KPI Snapshot</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839"/>
      </w:tblGrid>
      <w:tr w:rsidR="00A478A0" w:rsidTr="00D36469">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A478A0" w:rsidRDefault="00E9042B">
            <w:pPr>
              <w:spacing w:before="60" w:after="60"/>
              <w:jc w:val="left"/>
            </w:pPr>
            <w:r>
              <w:rPr>
                <w:b/>
                <w:bCs/>
                <w:color w:val="FFFFFF"/>
                <w:sz w:val="18"/>
                <w:szCs w:val="18"/>
              </w:rPr>
              <w:t>Metric</w:t>
            </w:r>
          </w:p>
        </w:tc>
        <w:tc>
          <w:tcPr>
            <w:tcW w:w="2340"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A478A0" w:rsidRDefault="00E9042B">
            <w:pPr>
              <w:spacing w:before="60" w:after="60"/>
              <w:jc w:val="left"/>
            </w:pPr>
            <w:r>
              <w:rPr>
                <w:b/>
                <w:bCs/>
                <w:color w:val="FFFFFF"/>
                <w:sz w:val="18"/>
                <w:szCs w:val="18"/>
              </w:rPr>
              <w:t>Value</w:t>
            </w:r>
          </w:p>
        </w:tc>
        <w:tc>
          <w:tcPr>
            <w:tcW w:w="2340"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A478A0" w:rsidRDefault="00E9042B">
            <w:pPr>
              <w:spacing w:before="60" w:after="60"/>
              <w:jc w:val="left"/>
            </w:pPr>
            <w:r>
              <w:rPr>
                <w:b/>
                <w:bCs/>
                <w:color w:val="FFFFFF"/>
                <w:sz w:val="18"/>
                <w:szCs w:val="18"/>
              </w:rPr>
              <w:t>Benchmark</w:t>
            </w:r>
          </w:p>
        </w:tc>
        <w:tc>
          <w:tcPr>
            <w:tcW w:w="1839"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A478A0" w:rsidRDefault="00E9042B">
            <w:pPr>
              <w:spacing w:before="60" w:after="60"/>
              <w:jc w:val="left"/>
            </w:pPr>
            <w:r>
              <w:rPr>
                <w:b/>
                <w:bCs/>
                <w:color w:val="FFFFFF"/>
                <w:sz w:val="18"/>
                <w:szCs w:val="18"/>
              </w:rPr>
              <w:t>Status</w:t>
            </w:r>
          </w:p>
        </w:tc>
      </w:tr>
      <w:tr w:rsidR="00A478A0" w:rsidTr="00D364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sz w:val="18"/>
                <w:szCs w:val="18"/>
              </w:rPr>
              <w:t>Total Portfolio Outstanding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051C2C"/>
                <w:sz w:val="18"/>
                <w:szCs w:val="18"/>
              </w:rPr>
              <w:t>₦732.17 Billion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i/>
                <w:iCs/>
                <w:sz w:val="17"/>
                <w:szCs w:val="17"/>
              </w:rPr>
              <w:t>Active monitoring</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478A0" w:rsidRDefault="00E9042B">
            <w:pPr>
              <w:spacing w:before="60" w:after="60"/>
              <w:jc w:val="center"/>
            </w:pPr>
            <w:r>
              <w:rPr>
                <w:b/>
                <w:bCs/>
                <w:color w:val="051C2C"/>
                <w:sz w:val="18"/>
                <w:szCs w:val="18"/>
              </w:rPr>
              <w:t>Current</w:t>
            </w:r>
          </w:p>
        </w:tc>
      </w:tr>
      <w:tr w:rsidR="00A478A0" w:rsidTr="00D364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sz w:val="18"/>
                <w:szCs w:val="18"/>
              </w:rPr>
              <w:t>Principal Loan Book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051C2C"/>
                <w:sz w:val="18"/>
                <w:szCs w:val="18"/>
              </w:rPr>
              <w:t>₦1.397 Trillion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i/>
                <w:iCs/>
                <w:sz w:val="17"/>
                <w:szCs w:val="17"/>
              </w:rPr>
              <w:t>Portfolio originated</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478A0" w:rsidRDefault="00E9042B">
            <w:pPr>
              <w:spacing w:before="60" w:after="60"/>
              <w:jc w:val="center"/>
            </w:pPr>
            <w:r>
              <w:rPr>
                <w:b/>
                <w:bCs/>
                <w:color w:val="051C2C"/>
                <w:sz w:val="18"/>
                <w:szCs w:val="18"/>
              </w:rPr>
              <w:t>Reference</w:t>
            </w:r>
          </w:p>
        </w:tc>
      </w:tr>
      <w:tr w:rsidR="00A478A0" w:rsidTr="00D364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sz w:val="18"/>
                <w:szCs w:val="18"/>
              </w:rPr>
              <w:t>Total Repayments Recovered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1A7A1A"/>
                <w:sz w:val="18"/>
                <w:szCs w:val="18"/>
              </w:rPr>
              <w:t>₦664.45 Billion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i/>
                <w:iCs/>
                <w:sz w:val="17"/>
                <w:szCs w:val="17"/>
              </w:rPr>
              <w:t>47.6% repayment rate</w:t>
            </w:r>
          </w:p>
        </w:tc>
        <w:tc>
          <w:tcPr>
            <w:tcW w:w="18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A478A0" w:rsidRDefault="00E9042B">
            <w:pPr>
              <w:spacing w:before="60" w:after="60"/>
              <w:jc w:val="center"/>
            </w:pPr>
            <w:r>
              <w:rPr>
                <w:b/>
                <w:bCs/>
                <w:color w:val="1A7A1A"/>
                <w:sz w:val="18"/>
                <w:szCs w:val="18"/>
              </w:rPr>
              <w:t>On Track</w:t>
            </w:r>
          </w:p>
        </w:tc>
      </w:tr>
      <w:tr w:rsidR="00A478A0" w:rsidTr="00D364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sz w:val="18"/>
                <w:szCs w:val="18"/>
              </w:rPr>
              <w:t>NPL Ratio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C0392B"/>
                <w:sz w:val="18"/>
                <w:szCs w:val="18"/>
              </w:rPr>
              <w:t>17.2%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i/>
                <w:iCs/>
                <w:sz w:val="17"/>
                <w:szCs w:val="17"/>
              </w:rPr>
              <w:t>CBN Limit: 5%  |  Industry: 7%</w:t>
            </w:r>
          </w:p>
        </w:tc>
        <w:tc>
          <w:tcPr>
            <w:tcW w:w="1839"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tcPr>
          <w:p w:rsidR="00A478A0" w:rsidRDefault="00E9042B">
            <w:pPr>
              <w:spacing w:before="60" w:after="60"/>
              <w:jc w:val="center"/>
            </w:pPr>
            <w:r>
              <w:rPr>
                <w:b/>
                <w:bCs/>
                <w:color w:val="C0392B"/>
                <w:sz w:val="18"/>
                <w:szCs w:val="18"/>
              </w:rPr>
              <w:t>Critical</w:t>
            </w:r>
          </w:p>
        </w:tc>
      </w:tr>
      <w:tr w:rsidR="00A478A0" w:rsidTr="00D364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sz w:val="18"/>
                <w:szCs w:val="18"/>
              </w:rPr>
              <w:t>Total Provision Required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8B3A00"/>
                <w:sz w:val="18"/>
                <w:szCs w:val="18"/>
              </w:rPr>
              <w:t>₦194.61 Billion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i/>
                <w:iCs/>
                <w:sz w:val="17"/>
                <w:szCs w:val="17"/>
              </w:rPr>
              <w:t>IFRS 9 Minimum</w:t>
            </w:r>
          </w:p>
        </w:tc>
        <w:tc>
          <w:tcPr>
            <w:tcW w:w="1839" w:type="dxa"/>
            <w:tcBorders>
              <w:top w:val="single" w:sz="1" w:space="0" w:color="CCCCCC"/>
              <w:left w:val="single" w:sz="1" w:space="0" w:color="CCCCCC"/>
              <w:bottom w:val="single" w:sz="1" w:space="0" w:color="CCCCCC"/>
              <w:right w:val="single" w:sz="1" w:space="0" w:color="CCCCCC"/>
            </w:tcBorders>
            <w:shd w:val="clear" w:color="auto" w:fill="F5EBE0"/>
            <w:tcMar>
              <w:top w:w="80" w:type="dxa"/>
              <w:left w:w="120" w:type="dxa"/>
              <w:bottom w:w="80" w:type="dxa"/>
              <w:right w:w="120" w:type="dxa"/>
            </w:tcMar>
          </w:tcPr>
          <w:p w:rsidR="00A478A0" w:rsidRDefault="00E9042B">
            <w:pPr>
              <w:spacing w:before="60" w:after="60"/>
              <w:jc w:val="center"/>
            </w:pPr>
            <w:r>
              <w:rPr>
                <w:b/>
                <w:bCs/>
                <w:color w:val="8B3A00"/>
                <w:sz w:val="18"/>
                <w:szCs w:val="18"/>
              </w:rPr>
              <w:t>Action Required</w:t>
            </w:r>
          </w:p>
        </w:tc>
      </w:tr>
      <w:tr w:rsidR="00A478A0" w:rsidTr="00D364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sz w:val="18"/>
                <w:szCs w:val="18"/>
              </w:rPr>
              <w:t>Active Alert Loans Flagged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8B05BE">
            <w:pPr>
              <w:spacing w:before="60" w:after="60"/>
              <w:jc w:val="center"/>
            </w:pPr>
            <w:r>
              <w:rPr>
                <w:b/>
                <w:bCs/>
                <w:color w:val="C0392B"/>
                <w:sz w:val="18"/>
                <w:szCs w:val="18"/>
              </w:rPr>
              <w:t>11,907</w:t>
            </w:r>
            <w:r w:rsidR="00E9042B">
              <w:rPr>
                <w:b/>
                <w:bCs/>
                <w:color w:val="C0392B"/>
                <w:sz w:val="18"/>
                <w:szCs w:val="18"/>
              </w:rPr>
              <w:t xml:space="preserve"> Loans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i/>
                <w:iCs/>
                <w:sz w:val="17"/>
                <w:szCs w:val="17"/>
              </w:rPr>
              <w:t>Target: Zero</w:t>
            </w:r>
          </w:p>
        </w:tc>
        <w:tc>
          <w:tcPr>
            <w:tcW w:w="1839"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tcPr>
          <w:p w:rsidR="00A478A0" w:rsidRDefault="00E9042B">
            <w:pPr>
              <w:spacing w:before="60" w:after="60"/>
              <w:jc w:val="center"/>
            </w:pPr>
            <w:r>
              <w:rPr>
                <w:b/>
                <w:bCs/>
                <w:color w:val="C0392B"/>
                <w:sz w:val="18"/>
                <w:szCs w:val="18"/>
              </w:rPr>
              <w:t>Immediate Action</w:t>
            </w:r>
          </w:p>
        </w:tc>
      </w:tr>
      <w:tr w:rsidR="00A478A0" w:rsidTr="00D364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sz w:val="18"/>
                <w:szCs w:val="18"/>
              </w:rPr>
              <w:t>Average Risk Score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8B3A00"/>
                <w:sz w:val="18"/>
                <w:szCs w:val="18"/>
              </w:rPr>
              <w:t>28.49 / 100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i/>
                <w:iCs/>
                <w:sz w:val="17"/>
                <w:szCs w:val="17"/>
              </w:rPr>
              <w:t>Target: Below 25</w:t>
            </w:r>
          </w:p>
        </w:tc>
        <w:tc>
          <w:tcPr>
            <w:tcW w:w="1839" w:type="dxa"/>
            <w:tcBorders>
              <w:top w:val="single" w:sz="1" w:space="0" w:color="CCCCCC"/>
              <w:left w:val="single" w:sz="1" w:space="0" w:color="CCCCCC"/>
              <w:bottom w:val="single" w:sz="1" w:space="0" w:color="CCCCCC"/>
              <w:right w:val="single" w:sz="1" w:space="0" w:color="CCCCCC"/>
            </w:tcBorders>
            <w:shd w:val="clear" w:color="auto" w:fill="F5EBE0"/>
            <w:tcMar>
              <w:top w:w="80" w:type="dxa"/>
              <w:left w:w="120" w:type="dxa"/>
              <w:bottom w:w="80" w:type="dxa"/>
              <w:right w:w="120" w:type="dxa"/>
            </w:tcMar>
          </w:tcPr>
          <w:p w:rsidR="00A478A0" w:rsidRDefault="00E9042B">
            <w:pPr>
              <w:spacing w:before="60" w:after="60"/>
              <w:jc w:val="center"/>
            </w:pPr>
            <w:r>
              <w:rPr>
                <w:b/>
                <w:bCs/>
                <w:color w:val="8B3A00"/>
                <w:sz w:val="18"/>
                <w:szCs w:val="18"/>
              </w:rPr>
              <w:t>Elevated</w:t>
            </w:r>
          </w:p>
        </w:tc>
      </w:tr>
      <w:tr w:rsidR="00A478A0" w:rsidTr="00D36469">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sz w:val="18"/>
                <w:szCs w:val="18"/>
              </w:rPr>
              <w:t>Total Loans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051C2C"/>
                <w:sz w:val="18"/>
                <w:szCs w:val="18"/>
              </w:rPr>
              <w:t>30,000 Accounts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i/>
                <w:iCs/>
                <w:sz w:val="17"/>
                <w:szCs w:val="17"/>
              </w:rPr>
              <w:t>10 branches</w:t>
            </w:r>
          </w:p>
        </w:tc>
        <w:tc>
          <w:tcPr>
            <w:tcW w:w="18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A478A0" w:rsidRDefault="00E9042B">
            <w:pPr>
              <w:spacing w:before="60" w:after="60"/>
              <w:jc w:val="center"/>
            </w:pPr>
            <w:r>
              <w:rPr>
                <w:b/>
                <w:bCs/>
                <w:color w:val="051C2C"/>
                <w:sz w:val="18"/>
                <w:szCs w:val="18"/>
              </w:rPr>
              <w:t>Active</w:t>
            </w:r>
          </w:p>
        </w:tc>
      </w:tr>
    </w:tbl>
    <w:p w:rsidR="00A478A0" w:rsidRDefault="00E9042B">
      <w:r>
        <w:br w:type="page"/>
      </w:r>
    </w:p>
    <w:p w:rsidR="00A478A0" w:rsidRDefault="00E9042B">
      <w:pPr>
        <w:pStyle w:val="Heading11"/>
        <w:pBdr>
          <w:bottom w:val="single" w:sz="12" w:space="6" w:color="051C2C"/>
        </w:pBdr>
      </w:pPr>
      <w:r>
        <w:rPr>
          <w:spacing w:val="80"/>
        </w:rPr>
        <w:lastRenderedPageBreak/>
        <w:t>2. PROJECT OVERVIEW</w:t>
      </w:r>
    </w:p>
    <w:p w:rsidR="00A478A0" w:rsidRDefault="00E9042B">
      <w:pPr>
        <w:pStyle w:val="Heading21"/>
      </w:pPr>
      <w:r>
        <w:t>2.1 Title</w:t>
      </w:r>
    </w:p>
    <w:p w:rsidR="00A478A0" w:rsidRDefault="00E9042B" w:rsidP="00440623">
      <w:pPr>
        <w:spacing w:after="120" w:line="276" w:lineRule="auto"/>
      </w:pPr>
      <w:r>
        <w:rPr>
          <w:sz w:val="20"/>
        </w:rPr>
        <w:t>Loan Monitoring Performance — Credit Monitoring and Early Warning System</w:t>
      </w:r>
    </w:p>
    <w:p w:rsidR="00A478A0" w:rsidRDefault="00E9042B">
      <w:pPr>
        <w:pStyle w:val="Heading21"/>
      </w:pPr>
      <w:r>
        <w:t>2.2 Background &amp; Objective</w:t>
      </w:r>
    </w:p>
    <w:p w:rsidR="00A478A0" w:rsidRDefault="00E9042B" w:rsidP="00440623">
      <w:pPr>
        <w:spacing w:after="120" w:line="276" w:lineRule="auto"/>
      </w:pPr>
      <w:r>
        <w:rPr>
          <w:sz w:val="20"/>
        </w:rPr>
        <w:t xml:space="preserve">Credit monitoring </w:t>
      </w:r>
      <w:r w:rsidR="00E76007">
        <w:rPr>
          <w:sz w:val="20"/>
        </w:rPr>
        <w:t>programs</w:t>
      </w:r>
      <w:r>
        <w:rPr>
          <w:sz w:val="20"/>
        </w:rPr>
        <w:t xml:space="preserve"> at financial institutions frequently fail to detect deteriorating loan quality until losses have already </w:t>
      </w:r>
      <w:r w:rsidR="00E76007">
        <w:rPr>
          <w:sz w:val="20"/>
        </w:rPr>
        <w:t>crystallized</w:t>
      </w:r>
      <w:r>
        <w:rPr>
          <w:sz w:val="20"/>
        </w:rPr>
        <w:t>. This project was designed to simulate the real-time monitoring infrastruct</w:t>
      </w:r>
      <w:r w:rsidR="00E76007">
        <w:rPr>
          <w:sz w:val="20"/>
        </w:rPr>
        <w:t>ure used by CBN-licensed banks;</w:t>
      </w:r>
      <w:r>
        <w:rPr>
          <w:sz w:val="20"/>
        </w:rPr>
        <w:t xml:space="preserve"> tracking repayment </w:t>
      </w:r>
      <w:proofErr w:type="spellStart"/>
      <w:r>
        <w:rPr>
          <w:sz w:val="20"/>
        </w:rPr>
        <w:t>behaviour</w:t>
      </w:r>
      <w:proofErr w:type="spellEnd"/>
      <w:r>
        <w:rPr>
          <w:sz w:val="20"/>
        </w:rPr>
        <w:t>, computing risk scores, and surfacing early warning signals before loans migrate from Watch or Substandard grades into non-performing status.</w:t>
      </w:r>
    </w:p>
    <w:p w:rsidR="00A478A0" w:rsidRDefault="00E9042B" w:rsidP="00440623">
      <w:pPr>
        <w:spacing w:after="120" w:line="276" w:lineRule="auto"/>
      </w:pPr>
      <w:r>
        <w:rPr>
          <w:sz w:val="20"/>
        </w:rPr>
        <w:t>The system monitors 30,000 loan accounts across ten branches, classifying every loan using the CBN/IFRS 9 five-grade prudential framework, assigning a quantitative risk score (0 to 100) to each borrower, and presenting the right information to the right management audience before silent deterioration becomes an unrecoverable loss.</w:t>
      </w:r>
    </w:p>
    <w:p w:rsidR="00A478A0" w:rsidRDefault="00E9042B">
      <w:pPr>
        <w:pStyle w:val="Heading21"/>
      </w:pPr>
      <w:r>
        <w:t>2.3 Scope of Work</w:t>
      </w:r>
    </w:p>
    <w:p w:rsidR="00A478A0" w:rsidRDefault="00E9042B">
      <w:pPr>
        <w:pStyle w:val="ListParagraph"/>
        <w:numPr>
          <w:ilvl w:val="0"/>
          <w:numId w:val="1"/>
        </w:numPr>
        <w:spacing w:before="40" w:after="40"/>
      </w:pPr>
      <w:r>
        <w:rPr>
          <w:sz w:val="19"/>
          <w:szCs w:val="19"/>
        </w:rPr>
        <w:t>Clean and transform the 30,000-record loan dataset</w:t>
      </w:r>
    </w:p>
    <w:p w:rsidR="00A478A0" w:rsidRDefault="00E9042B">
      <w:pPr>
        <w:pStyle w:val="ListParagraph"/>
        <w:numPr>
          <w:ilvl w:val="0"/>
          <w:numId w:val="1"/>
        </w:numPr>
        <w:spacing w:before="40" w:after="40"/>
      </w:pPr>
      <w:r>
        <w:rPr>
          <w:sz w:val="19"/>
          <w:szCs w:val="19"/>
        </w:rPr>
        <w:t>Classify all loans using the CBN/IFRS 9 five-grade framework (Pass, Watch, Substandard, Doubtful, Loss)</w:t>
      </w:r>
    </w:p>
    <w:p w:rsidR="00A478A0" w:rsidRDefault="00E9042B">
      <w:pPr>
        <w:pStyle w:val="ListParagraph"/>
        <w:numPr>
          <w:ilvl w:val="0"/>
          <w:numId w:val="1"/>
        </w:numPr>
        <w:spacing w:before="40" w:after="40"/>
      </w:pPr>
      <w:r>
        <w:rPr>
          <w:sz w:val="19"/>
          <w:szCs w:val="19"/>
        </w:rPr>
        <w:t xml:space="preserve">Assign a quantitative risk score of 0 to 100 to each borrower based on repayment </w:t>
      </w:r>
      <w:proofErr w:type="spellStart"/>
      <w:r>
        <w:rPr>
          <w:sz w:val="19"/>
          <w:szCs w:val="19"/>
        </w:rPr>
        <w:t>behaviour</w:t>
      </w:r>
      <w:proofErr w:type="spellEnd"/>
      <w:r>
        <w:rPr>
          <w:sz w:val="19"/>
          <w:szCs w:val="19"/>
        </w:rPr>
        <w:t xml:space="preserve"> and collateral adequacy</w:t>
      </w:r>
    </w:p>
    <w:p w:rsidR="00A478A0" w:rsidRDefault="00E9042B">
      <w:pPr>
        <w:pStyle w:val="ListParagraph"/>
        <w:numPr>
          <w:ilvl w:val="0"/>
          <w:numId w:val="1"/>
        </w:numPr>
        <w:spacing w:before="40" w:after="40"/>
      </w:pPr>
      <w:r>
        <w:rPr>
          <w:sz w:val="19"/>
          <w:szCs w:val="19"/>
        </w:rPr>
        <w:t>Identify and flag all loans meeting the early wa</w:t>
      </w:r>
      <w:r w:rsidR="00E76007">
        <w:rPr>
          <w:sz w:val="19"/>
          <w:szCs w:val="19"/>
        </w:rPr>
        <w:t>rning threshold (Days Past Due &gt; 30)</w:t>
      </w:r>
    </w:p>
    <w:p w:rsidR="00A478A0" w:rsidRDefault="00E9042B">
      <w:pPr>
        <w:pStyle w:val="ListParagraph"/>
        <w:numPr>
          <w:ilvl w:val="0"/>
          <w:numId w:val="1"/>
        </w:numPr>
        <w:spacing w:before="40" w:after="40"/>
      </w:pPr>
      <w:r>
        <w:rPr>
          <w:sz w:val="19"/>
          <w:szCs w:val="19"/>
        </w:rPr>
        <w:t>Build interactive Power BI dashboards enabling management to monitor portfolio health in real time</w:t>
      </w:r>
    </w:p>
    <w:p w:rsidR="00A478A0" w:rsidRDefault="00E9042B">
      <w:pPr>
        <w:pStyle w:val="ListParagraph"/>
        <w:numPr>
          <w:ilvl w:val="0"/>
          <w:numId w:val="1"/>
        </w:numPr>
        <w:spacing w:before="40" w:after="40"/>
      </w:pPr>
      <w:r>
        <w:rPr>
          <w:sz w:val="19"/>
          <w:szCs w:val="19"/>
        </w:rPr>
        <w:t>Evaluate collateral coverage and compute provision requirements per CBN/IFRS 9 regulatory standards</w:t>
      </w:r>
    </w:p>
    <w:p w:rsidR="00A478A0" w:rsidRDefault="00E9042B">
      <w:pPr>
        <w:pStyle w:val="ListParagraph"/>
        <w:numPr>
          <w:ilvl w:val="0"/>
          <w:numId w:val="1"/>
        </w:numPr>
        <w:spacing w:before="40" w:after="40"/>
      </w:pPr>
      <w:r>
        <w:rPr>
          <w:sz w:val="19"/>
          <w:szCs w:val="19"/>
        </w:rPr>
        <w:t>Generate actionable insights for portfolio recovery</w:t>
      </w:r>
      <w:r w:rsidR="00E76007">
        <w:rPr>
          <w:sz w:val="19"/>
          <w:szCs w:val="19"/>
        </w:rPr>
        <w:t xml:space="preserve"> and program</w:t>
      </w:r>
      <w:r>
        <w:rPr>
          <w:sz w:val="19"/>
          <w:szCs w:val="19"/>
        </w:rPr>
        <w:t xml:space="preserve"> improvement</w:t>
      </w:r>
    </w:p>
    <w:p w:rsidR="00A478A0" w:rsidRDefault="00E9042B">
      <w:r>
        <w:br w:type="page"/>
      </w:r>
    </w:p>
    <w:p w:rsidR="00A478A0" w:rsidRDefault="00E9042B">
      <w:pPr>
        <w:pStyle w:val="Heading11"/>
        <w:pBdr>
          <w:bottom w:val="single" w:sz="12" w:space="6" w:color="051C2C"/>
        </w:pBdr>
      </w:pPr>
      <w:r>
        <w:rPr>
          <w:spacing w:val="80"/>
        </w:rPr>
        <w:lastRenderedPageBreak/>
        <w:t>3. DATA DESCRIPTION</w:t>
      </w:r>
    </w:p>
    <w:p w:rsidR="00A478A0" w:rsidRDefault="00E9042B">
      <w:pPr>
        <w:pStyle w:val="Heading21"/>
      </w:pPr>
      <w:r>
        <w:t>3.1 Dataset Overview</w:t>
      </w:r>
    </w:p>
    <w:p w:rsidR="00A478A0" w:rsidRDefault="00E9042B">
      <w:pPr>
        <w:spacing w:after="120" w:line="276" w:lineRule="auto"/>
      </w:pPr>
      <w:r>
        <w:rPr>
          <w:sz w:val="20"/>
        </w:rPr>
        <w:t>The dataset contains 30,000 loan records spanning January 2021 to December 2024, covering ten branches, four borrower segments, six loan types, and ten industry sectors. All monetary figures are denominated in Nigerian Naira (₦).</w:t>
      </w:r>
    </w:p>
    <w:p w:rsidR="00A478A0" w:rsidRDefault="00A478A0"/>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2338"/>
        <w:gridCol w:w="6639"/>
      </w:tblGrid>
      <w:tr w:rsidR="00E76007" w:rsidTr="00E76007">
        <w:tblPrEx>
          <w:tblCellMar>
            <w:top w:w="0" w:type="dxa"/>
            <w:bottom w:w="0" w:type="dxa"/>
          </w:tblCellMar>
        </w:tblPrEx>
        <w:tc>
          <w:tcPr>
            <w:tcW w:w="521"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E76007" w:rsidRDefault="00E76007">
            <w:pPr>
              <w:spacing w:before="60" w:after="60"/>
              <w:jc w:val="left"/>
            </w:pPr>
            <w:r>
              <w:rPr>
                <w:b/>
                <w:bCs/>
                <w:color w:val="FFFFFF"/>
                <w:sz w:val="18"/>
                <w:szCs w:val="18"/>
              </w:rPr>
              <w:t>S/N</w:t>
            </w:r>
          </w:p>
        </w:tc>
        <w:tc>
          <w:tcPr>
            <w:tcW w:w="2338"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E76007" w:rsidRDefault="00E76007">
            <w:pPr>
              <w:spacing w:before="60" w:after="60"/>
              <w:jc w:val="left"/>
            </w:pPr>
            <w:r>
              <w:rPr>
                <w:b/>
                <w:bCs/>
                <w:color w:val="FFFFFF"/>
                <w:sz w:val="18"/>
                <w:szCs w:val="18"/>
              </w:rPr>
              <w:t>Column Name</w:t>
            </w:r>
          </w:p>
        </w:tc>
        <w:tc>
          <w:tcPr>
            <w:tcW w:w="6639"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E76007" w:rsidRDefault="00E76007">
            <w:pPr>
              <w:spacing w:before="60" w:after="60"/>
              <w:jc w:val="left"/>
            </w:pPr>
            <w:r>
              <w:rPr>
                <w:b/>
                <w:bCs/>
                <w:color w:val="FFFFFF"/>
                <w:sz w:val="18"/>
                <w:szCs w:val="18"/>
              </w:rPr>
              <w:t>Description</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1</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Loan_ID</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Unique identifier for each loan account</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2</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Borrower_Name</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sz w:val="17"/>
                <w:szCs w:val="17"/>
              </w:rPr>
              <w:t>Full name of the loan beneficiary</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3</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b/>
                <w:bCs/>
                <w:color w:val="051C2C"/>
                <w:sz w:val="17"/>
                <w:szCs w:val="17"/>
              </w:rPr>
              <w:t>Branch</w:t>
            </w:r>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Name of the branch where the loan was originated</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4</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Loan_Type</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sz w:val="17"/>
                <w:szCs w:val="17"/>
              </w:rPr>
              <w:t>Category of loan (Personal, Mortgage, Business, Auto, Education, Agricultural)</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5</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Principal_Amount</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Original loan amount disbursed to the borrower</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6</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Outstanding_Balance</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sz w:val="17"/>
                <w:szCs w:val="17"/>
              </w:rPr>
              <w:t>Current unpaid principal balance remaining on the loan</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7</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Days_Past_Due</w:t>
            </w:r>
            <w:proofErr w:type="spellEnd"/>
            <w:r>
              <w:rPr>
                <w:b/>
                <w:bCs/>
                <w:color w:val="051C2C"/>
                <w:sz w:val="17"/>
                <w:szCs w:val="17"/>
              </w:rPr>
              <w:t xml:space="preserve"> (DPD)</w:t>
            </w:r>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Number of days the loan repayment is overdue</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8</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Loan_Classification</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sz w:val="17"/>
                <w:szCs w:val="17"/>
              </w:rPr>
              <w:t>CBN risk grade: Pass, Watch, Substandard, Doubtful, Loss</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9</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Collateral_Type</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Type of security pledged against the loan</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10</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Collateral_Coverage_Ratio</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sz w:val="17"/>
                <w:szCs w:val="17"/>
              </w:rPr>
              <w:t>Ratio of collateral value to outstanding loan balance</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11</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Risk_Score</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Borrower risk score (0–100; higher = greater default risk)</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12</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Risk_Category</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sz w:val="17"/>
                <w:szCs w:val="17"/>
              </w:rPr>
              <w:t>Risk band: Low, Medium, High, or Critical Risk</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13</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Provision_Amount</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Amount set aside as a bad debt reserve per regulatory rates</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14</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Alert_Flag</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rsidP="00440623">
            <w:pPr>
              <w:spacing w:before="60" w:after="60"/>
              <w:jc w:val="left"/>
            </w:pPr>
            <w:r>
              <w:rPr>
                <w:sz w:val="17"/>
                <w:szCs w:val="17"/>
              </w:rPr>
              <w:t>System flag: NORMA</w:t>
            </w:r>
            <w:r w:rsidR="00440623">
              <w:rPr>
                <w:sz w:val="17"/>
                <w:szCs w:val="17"/>
              </w:rPr>
              <w:t>L or ALERT (triggered when DPD &gt;</w:t>
            </w:r>
            <w:r>
              <w:rPr>
                <w:sz w:val="17"/>
                <w:szCs w:val="17"/>
              </w:rPr>
              <w:t xml:space="preserve"> 30)</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15</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Interest_Rate</w:t>
            </w:r>
            <w:proofErr w:type="spellEnd"/>
            <w:r>
              <w:rPr>
                <w:b/>
                <w:bCs/>
                <w:color w:val="051C2C"/>
                <w:sz w:val="17"/>
                <w:szCs w:val="17"/>
              </w:rPr>
              <w:t>_%</w:t>
            </w:r>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Annual interest rate applied to the loan</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16</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Tenor_Months</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sz w:val="17"/>
                <w:szCs w:val="17"/>
              </w:rPr>
              <w:t>Agreed repayment duration in months</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17</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Disbursement_Date</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Date on which the loan was disbursed to the borrower</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18</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Maturity_Date</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sz w:val="17"/>
                <w:szCs w:val="17"/>
              </w:rPr>
              <w:t>Contractual date by which the loan must be fully repaid</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center"/>
            </w:pPr>
            <w:r>
              <w:rPr>
                <w:sz w:val="18"/>
                <w:szCs w:val="18"/>
              </w:rPr>
              <w:t>19</w:t>
            </w:r>
          </w:p>
        </w:tc>
        <w:tc>
          <w:tcPr>
            <w:tcW w:w="2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proofErr w:type="spellStart"/>
            <w:r>
              <w:rPr>
                <w:b/>
                <w:bCs/>
                <w:color w:val="051C2C"/>
                <w:sz w:val="17"/>
                <w:szCs w:val="17"/>
              </w:rPr>
              <w:t>Borrower_Type</w:t>
            </w:r>
            <w:proofErr w:type="spellEnd"/>
          </w:p>
        </w:tc>
        <w:tc>
          <w:tcPr>
            <w:tcW w:w="66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E76007" w:rsidRDefault="00E76007">
            <w:pPr>
              <w:spacing w:before="60" w:after="60"/>
              <w:jc w:val="left"/>
            </w:pPr>
            <w:r>
              <w:rPr>
                <w:sz w:val="17"/>
                <w:szCs w:val="17"/>
              </w:rPr>
              <w:t>Segment: Individual, SME, Corporate, or Micro Business</w:t>
            </w:r>
          </w:p>
        </w:tc>
      </w:tr>
      <w:tr w:rsidR="00E76007" w:rsidTr="00E76007">
        <w:tblPrEx>
          <w:tblCellMar>
            <w:top w:w="0" w:type="dxa"/>
            <w:bottom w:w="0" w:type="dxa"/>
          </w:tblCellMar>
        </w:tblPrEx>
        <w:tc>
          <w:tcPr>
            <w:tcW w:w="5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center"/>
            </w:pPr>
            <w:r>
              <w:rPr>
                <w:sz w:val="18"/>
                <w:szCs w:val="18"/>
              </w:rPr>
              <w:t>20</w:t>
            </w:r>
          </w:p>
        </w:tc>
        <w:tc>
          <w:tcPr>
            <w:tcW w:w="2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b/>
                <w:bCs/>
                <w:color w:val="051C2C"/>
                <w:sz w:val="17"/>
                <w:szCs w:val="17"/>
              </w:rPr>
              <w:t>Industry</w:t>
            </w:r>
          </w:p>
        </w:tc>
        <w:tc>
          <w:tcPr>
            <w:tcW w:w="6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76007" w:rsidRDefault="00E76007">
            <w:pPr>
              <w:spacing w:before="60" w:after="60"/>
              <w:jc w:val="left"/>
            </w:pPr>
            <w:r>
              <w:rPr>
                <w:sz w:val="17"/>
                <w:szCs w:val="17"/>
              </w:rPr>
              <w:t>Sector in which the borrower operates</w:t>
            </w:r>
          </w:p>
        </w:tc>
      </w:tr>
    </w:tbl>
    <w:p w:rsidR="00A478A0" w:rsidRDefault="00E9042B">
      <w:pPr>
        <w:pStyle w:val="Heading11"/>
        <w:pBdr>
          <w:bottom w:val="single" w:sz="12" w:space="6" w:color="051C2C"/>
        </w:pBdr>
      </w:pPr>
      <w:r>
        <w:rPr>
          <w:spacing w:val="80"/>
        </w:rPr>
        <w:lastRenderedPageBreak/>
        <w:t>4. DATA CLEANING &amp; TRANSFORMATION</w:t>
      </w:r>
    </w:p>
    <w:p w:rsidR="00A478A0" w:rsidRDefault="00E9042B">
      <w:pPr>
        <w:pStyle w:val="Heading21"/>
      </w:pPr>
      <w:r>
        <w:t>4.1 Data Validation</w:t>
      </w:r>
    </w:p>
    <w:p w:rsidR="00A478A0" w:rsidRDefault="00E9042B" w:rsidP="00440623">
      <w:pPr>
        <w:spacing w:after="120" w:line="276" w:lineRule="auto"/>
      </w:pPr>
      <w:r>
        <w:rPr>
          <w:sz w:val="20"/>
        </w:rPr>
        <w:t>The following validation checks were performed on the raw dataset prior to analysis:</w:t>
      </w:r>
    </w:p>
    <w:p w:rsidR="00A478A0" w:rsidRDefault="00E9042B">
      <w:pPr>
        <w:pStyle w:val="ListParagraph"/>
        <w:numPr>
          <w:ilvl w:val="0"/>
          <w:numId w:val="1"/>
        </w:numPr>
        <w:spacing w:before="40" w:after="40"/>
      </w:pPr>
      <w:r>
        <w:rPr>
          <w:sz w:val="19"/>
          <w:szCs w:val="19"/>
        </w:rPr>
        <w:t xml:space="preserve">Checked for duplicate records across </w:t>
      </w:r>
      <w:proofErr w:type="spellStart"/>
      <w:r>
        <w:rPr>
          <w:sz w:val="19"/>
          <w:szCs w:val="19"/>
        </w:rPr>
        <w:t>Loan_ID</w:t>
      </w:r>
      <w:proofErr w:type="spellEnd"/>
      <w:r>
        <w:rPr>
          <w:sz w:val="19"/>
          <w:szCs w:val="19"/>
        </w:rPr>
        <w:t xml:space="preserve"> and Branch combinations to ensure uniqueness of each loan account</w:t>
      </w:r>
    </w:p>
    <w:p w:rsidR="00A478A0" w:rsidRDefault="00E9042B">
      <w:pPr>
        <w:pStyle w:val="ListParagraph"/>
        <w:numPr>
          <w:ilvl w:val="0"/>
          <w:numId w:val="1"/>
        </w:numPr>
        <w:spacing w:before="40" w:after="40"/>
      </w:pPr>
      <w:r>
        <w:rPr>
          <w:sz w:val="19"/>
          <w:szCs w:val="19"/>
        </w:rPr>
        <w:t>Checked for missing values across all numeric and date columns; no material gaps were identified</w:t>
      </w:r>
    </w:p>
    <w:p w:rsidR="00A478A0" w:rsidRDefault="00E9042B">
      <w:pPr>
        <w:pStyle w:val="ListParagraph"/>
        <w:numPr>
          <w:ilvl w:val="0"/>
          <w:numId w:val="1"/>
        </w:numPr>
        <w:spacing w:before="40" w:after="40"/>
      </w:pPr>
      <w:r>
        <w:rPr>
          <w:sz w:val="19"/>
          <w:szCs w:val="19"/>
        </w:rPr>
        <w:t>Verified that all numeric columns contained only valid, logically consistent values within expected ranges</w:t>
      </w:r>
    </w:p>
    <w:p w:rsidR="00A478A0" w:rsidRDefault="00E9042B" w:rsidP="00440623">
      <w:pPr>
        <w:pStyle w:val="ListParagraph"/>
        <w:numPr>
          <w:ilvl w:val="0"/>
          <w:numId w:val="1"/>
        </w:numPr>
        <w:spacing w:before="40" w:after="40"/>
      </w:pPr>
      <w:r>
        <w:rPr>
          <w:sz w:val="19"/>
          <w:szCs w:val="19"/>
        </w:rPr>
        <w:t>Confirmed that all columns expressed as percentages were correctly scaled between 0 and 100</w:t>
      </w:r>
    </w:p>
    <w:p w:rsidR="00A478A0" w:rsidRDefault="00E9042B">
      <w:pPr>
        <w:pStyle w:val="Heading21"/>
      </w:pPr>
      <w:r>
        <w:t>4.2 Logical Consistency Check</w:t>
      </w:r>
    </w:p>
    <w:p w:rsidR="00A478A0" w:rsidRDefault="00E9042B" w:rsidP="00440623">
      <w:pPr>
        <w:spacing w:after="120" w:line="276" w:lineRule="auto"/>
      </w:pPr>
      <w:r>
        <w:rPr>
          <w:sz w:val="20"/>
        </w:rPr>
        <w:t xml:space="preserve">A critical validation step was performed to confirm that the </w:t>
      </w:r>
      <w:proofErr w:type="spellStart"/>
      <w:r>
        <w:rPr>
          <w:sz w:val="20"/>
        </w:rPr>
        <w:t>Outstanding_Balance</w:t>
      </w:r>
      <w:proofErr w:type="spellEnd"/>
      <w:r>
        <w:rPr>
          <w:sz w:val="20"/>
        </w:rPr>
        <w:t xml:space="preserve"> did not exceed the </w:t>
      </w:r>
      <w:proofErr w:type="spellStart"/>
      <w:r>
        <w:rPr>
          <w:sz w:val="20"/>
        </w:rPr>
        <w:t>Principal_Amount</w:t>
      </w:r>
      <w:proofErr w:type="spellEnd"/>
      <w:r>
        <w:rPr>
          <w:sz w:val="20"/>
        </w:rPr>
        <w:t xml:space="preserve"> for any individual loan record. Outstanding balance can never exceed the original principal in a correctly structured loan dataset, as it represents the remaining unpaid portion after repayments. Any breach of this logic would indicate a data entry error. No such errors were found.</w:t>
      </w:r>
    </w:p>
    <w:p w:rsidR="00A478A0" w:rsidRDefault="00E9042B">
      <w:pPr>
        <w:pStyle w:val="Heading21"/>
      </w:pPr>
      <w:r>
        <w:t>4.3 DAX Measures Created</w:t>
      </w:r>
    </w:p>
    <w:p w:rsidR="00A478A0" w:rsidRDefault="00E9042B" w:rsidP="00440623">
      <w:pPr>
        <w:spacing w:after="120" w:line="276" w:lineRule="auto"/>
      </w:pPr>
      <w:r>
        <w:rPr>
          <w:sz w:val="20"/>
        </w:rPr>
        <w:t xml:space="preserve">The following calculated measures were developed in Power BI using Data Analysis Expressions (DAX) to power all dashboard KPIs and </w:t>
      </w:r>
      <w:r w:rsidR="00440623">
        <w:rPr>
          <w:sz w:val="20"/>
        </w:rPr>
        <w:t>visualizations</w:t>
      </w:r>
      <w:r>
        <w:rPr>
          <w:sz w:val="20"/>
        </w:rPr>
        <w:t>:</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6664"/>
      </w:tblGrid>
      <w:tr w:rsidR="00440623" w:rsidTr="00440623">
        <w:tblPrEx>
          <w:tblCellMar>
            <w:top w:w="0" w:type="dxa"/>
            <w:bottom w:w="0" w:type="dxa"/>
          </w:tblCellMar>
        </w:tblPrEx>
        <w:tc>
          <w:tcPr>
            <w:tcW w:w="2267"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440623" w:rsidRDefault="00440623">
            <w:pPr>
              <w:spacing w:before="60" w:after="60"/>
              <w:jc w:val="left"/>
            </w:pPr>
            <w:r>
              <w:rPr>
                <w:b/>
                <w:bCs/>
                <w:color w:val="FFFFFF"/>
                <w:sz w:val="18"/>
                <w:szCs w:val="18"/>
              </w:rPr>
              <w:t>Measure Name</w:t>
            </w:r>
          </w:p>
        </w:tc>
        <w:tc>
          <w:tcPr>
            <w:tcW w:w="6664"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440623" w:rsidRDefault="00440623">
            <w:pPr>
              <w:spacing w:before="60" w:after="60"/>
              <w:jc w:val="left"/>
            </w:pPr>
            <w:r>
              <w:rPr>
                <w:b/>
                <w:bCs/>
                <w:color w:val="FFFFFF"/>
                <w:sz w:val="18"/>
                <w:szCs w:val="18"/>
              </w:rPr>
              <w:t>Purpose</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b/>
                <w:bCs/>
                <w:color w:val="051C2C"/>
                <w:sz w:val="17"/>
                <w:szCs w:val="17"/>
              </w:rPr>
              <w:t>Total Portfolio</w:t>
            </w:r>
          </w:p>
        </w:tc>
        <w:tc>
          <w:tcPr>
            <w:tcW w:w="66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sz w:val="17"/>
                <w:szCs w:val="17"/>
              </w:rPr>
              <w:t>Sum of all current outstanding balances</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b/>
                <w:bCs/>
                <w:color w:val="051C2C"/>
                <w:sz w:val="17"/>
                <w:szCs w:val="17"/>
              </w:rPr>
              <w:t>NPL Amount</w:t>
            </w:r>
          </w:p>
        </w:tc>
        <w:tc>
          <w:tcPr>
            <w:tcW w:w="6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sz w:val="17"/>
                <w:szCs w:val="17"/>
              </w:rPr>
              <w:t>Total exposure classified as non-performing</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b/>
                <w:bCs/>
                <w:color w:val="051C2C"/>
                <w:sz w:val="17"/>
                <w:szCs w:val="17"/>
              </w:rPr>
              <w:t>NPL Ratio</w:t>
            </w:r>
          </w:p>
        </w:tc>
        <w:tc>
          <w:tcPr>
            <w:tcW w:w="66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sz w:val="17"/>
                <w:szCs w:val="17"/>
              </w:rPr>
              <w:t>NPL as a percentage of total portfolio</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b/>
                <w:bCs/>
                <w:color w:val="051C2C"/>
                <w:sz w:val="17"/>
                <w:szCs w:val="17"/>
              </w:rPr>
              <w:t>Total Provision</w:t>
            </w:r>
          </w:p>
        </w:tc>
        <w:tc>
          <w:tcPr>
            <w:tcW w:w="6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sz w:val="17"/>
                <w:szCs w:val="17"/>
              </w:rPr>
              <w:t>Total regulatory provision required (IFRS 9)</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b/>
                <w:bCs/>
                <w:color w:val="051C2C"/>
                <w:sz w:val="17"/>
                <w:szCs w:val="17"/>
              </w:rPr>
              <w:t>Alert Count</w:t>
            </w:r>
          </w:p>
        </w:tc>
        <w:tc>
          <w:tcPr>
            <w:tcW w:w="66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sz w:val="17"/>
                <w:szCs w:val="17"/>
              </w:rPr>
              <w:t>Count of all flagged loans</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b/>
                <w:bCs/>
                <w:color w:val="051C2C"/>
                <w:sz w:val="17"/>
                <w:szCs w:val="17"/>
              </w:rPr>
              <w:t>Average Risk Score</w:t>
            </w:r>
          </w:p>
        </w:tc>
        <w:tc>
          <w:tcPr>
            <w:tcW w:w="6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sz w:val="17"/>
                <w:szCs w:val="17"/>
              </w:rPr>
              <w:t>Portfolio-wide average risk score (0–100)</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b/>
                <w:bCs/>
                <w:color w:val="051C2C"/>
                <w:sz w:val="17"/>
                <w:szCs w:val="17"/>
              </w:rPr>
              <w:t>Provision Coverage Ratio</w:t>
            </w:r>
          </w:p>
        </w:tc>
        <w:tc>
          <w:tcPr>
            <w:tcW w:w="66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sz w:val="17"/>
                <w:szCs w:val="17"/>
              </w:rPr>
              <w:t>Provision as a percentage of total portfolio</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b/>
                <w:bCs/>
                <w:color w:val="051C2C"/>
                <w:sz w:val="17"/>
                <w:szCs w:val="17"/>
              </w:rPr>
              <w:t>Performing Loans Count</w:t>
            </w:r>
          </w:p>
        </w:tc>
        <w:tc>
          <w:tcPr>
            <w:tcW w:w="6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sz w:val="17"/>
                <w:szCs w:val="17"/>
              </w:rPr>
              <w:t>Count of Pass-grade performing loans</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b/>
                <w:bCs/>
                <w:color w:val="051C2C"/>
                <w:sz w:val="17"/>
                <w:szCs w:val="17"/>
              </w:rPr>
              <w:t>Total Loans Count</w:t>
            </w:r>
          </w:p>
        </w:tc>
        <w:tc>
          <w:tcPr>
            <w:tcW w:w="66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sz w:val="17"/>
                <w:szCs w:val="17"/>
              </w:rPr>
              <w:t>Total count of all loan records</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b/>
                <w:bCs/>
                <w:color w:val="051C2C"/>
                <w:sz w:val="17"/>
                <w:szCs w:val="17"/>
              </w:rPr>
              <w:t>Performing Loans %</w:t>
            </w:r>
          </w:p>
        </w:tc>
        <w:tc>
          <w:tcPr>
            <w:tcW w:w="6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sz w:val="17"/>
                <w:szCs w:val="17"/>
              </w:rPr>
              <w:t>Performing loans as a percentage of total</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b/>
                <w:bCs/>
                <w:color w:val="051C2C"/>
                <w:sz w:val="17"/>
                <w:szCs w:val="17"/>
              </w:rPr>
              <w:t>Average Interest Rate</w:t>
            </w:r>
          </w:p>
        </w:tc>
        <w:tc>
          <w:tcPr>
            <w:tcW w:w="66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sz w:val="17"/>
                <w:szCs w:val="17"/>
              </w:rPr>
              <w:t>Weighted average interest rate across portfolio</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b/>
                <w:bCs/>
                <w:color w:val="051C2C"/>
                <w:sz w:val="17"/>
                <w:szCs w:val="17"/>
              </w:rPr>
              <w:t>Average Tenor</w:t>
            </w:r>
          </w:p>
        </w:tc>
        <w:tc>
          <w:tcPr>
            <w:tcW w:w="6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sz w:val="17"/>
                <w:szCs w:val="17"/>
              </w:rPr>
              <w:t>Average loan repayment period in months</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b/>
                <w:bCs/>
                <w:color w:val="051C2C"/>
                <w:sz w:val="17"/>
                <w:szCs w:val="17"/>
              </w:rPr>
              <w:t>Average Loan Size</w:t>
            </w:r>
          </w:p>
        </w:tc>
        <w:tc>
          <w:tcPr>
            <w:tcW w:w="66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440623" w:rsidRDefault="00440623">
            <w:pPr>
              <w:spacing w:before="60" w:after="60"/>
              <w:jc w:val="left"/>
            </w:pPr>
            <w:r>
              <w:rPr>
                <w:sz w:val="17"/>
                <w:szCs w:val="17"/>
              </w:rPr>
              <w:t>Average original principal per loan</w:t>
            </w:r>
          </w:p>
        </w:tc>
      </w:tr>
      <w:tr w:rsidR="00440623" w:rsidTr="00440623">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b/>
                <w:bCs/>
                <w:color w:val="051C2C"/>
                <w:sz w:val="17"/>
                <w:szCs w:val="17"/>
              </w:rPr>
              <w:t>Average Collateral Coverage</w:t>
            </w:r>
          </w:p>
        </w:tc>
        <w:tc>
          <w:tcPr>
            <w:tcW w:w="66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40623" w:rsidRDefault="00440623">
            <w:pPr>
              <w:spacing w:before="60" w:after="60"/>
              <w:jc w:val="left"/>
            </w:pPr>
            <w:r>
              <w:rPr>
                <w:sz w:val="17"/>
                <w:szCs w:val="17"/>
              </w:rPr>
              <w:t>Average collateral coverage ratio across portfolio</w:t>
            </w:r>
          </w:p>
        </w:tc>
      </w:tr>
    </w:tbl>
    <w:p w:rsidR="00A478A0" w:rsidRDefault="00E9042B">
      <w:pPr>
        <w:pStyle w:val="Heading11"/>
        <w:pBdr>
          <w:bottom w:val="single" w:sz="12" w:space="6" w:color="051C2C"/>
        </w:pBdr>
      </w:pPr>
      <w:r>
        <w:rPr>
          <w:spacing w:val="80"/>
        </w:rPr>
        <w:lastRenderedPageBreak/>
        <w:t>5. DASHBOARD DEVELOPMENT</w:t>
      </w:r>
    </w:p>
    <w:p w:rsidR="00A478A0" w:rsidRDefault="00E9042B" w:rsidP="002A6556">
      <w:pPr>
        <w:spacing w:after="120" w:line="276" w:lineRule="auto"/>
      </w:pPr>
      <w:r>
        <w:rPr>
          <w:sz w:val="20"/>
        </w:rPr>
        <w:t>Three interactive Power BI dashboards were developed, each calibrated to a specific management audience and decision need. All visuals respond dynamically to applied filters and slicers.</w:t>
      </w:r>
    </w:p>
    <w:p w:rsidR="00A478A0" w:rsidRDefault="00E9042B">
      <w:pPr>
        <w:pStyle w:val="Heading21"/>
      </w:pPr>
      <w:r>
        <w:t>5.1 Dashboard Architecture</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338"/>
      </w:tblGrid>
      <w:tr w:rsidR="002A6556" w:rsidTr="002A655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2A6556" w:rsidRDefault="002A6556">
            <w:pPr>
              <w:spacing w:before="60" w:after="60"/>
              <w:jc w:val="left"/>
            </w:pPr>
            <w:r>
              <w:rPr>
                <w:b/>
                <w:bCs/>
                <w:color w:val="FFFFFF"/>
                <w:sz w:val="18"/>
                <w:szCs w:val="18"/>
              </w:rPr>
              <w:t>Dashboard Page</w:t>
            </w:r>
          </w:p>
        </w:tc>
        <w:tc>
          <w:tcPr>
            <w:tcW w:w="7338"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2A6556" w:rsidRDefault="002A6556">
            <w:pPr>
              <w:spacing w:before="60" w:after="60"/>
              <w:jc w:val="left"/>
            </w:pPr>
            <w:r>
              <w:rPr>
                <w:b/>
                <w:bCs/>
                <w:color w:val="FFFFFF"/>
                <w:sz w:val="18"/>
                <w:szCs w:val="18"/>
              </w:rPr>
              <w:t>Primary Purpose</w:t>
            </w:r>
          </w:p>
        </w:tc>
      </w:tr>
      <w:tr w:rsidR="002A6556" w:rsidTr="002A655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6556" w:rsidRDefault="002A6556">
            <w:pPr>
              <w:spacing w:before="60" w:after="60"/>
              <w:jc w:val="left"/>
            </w:pPr>
            <w:r>
              <w:rPr>
                <w:b/>
                <w:bCs/>
                <w:color w:val="051C2C"/>
                <w:sz w:val="18"/>
                <w:szCs w:val="18"/>
              </w:rPr>
              <w:t>Overview</w:t>
            </w:r>
          </w:p>
        </w:tc>
        <w:tc>
          <w:tcPr>
            <w:tcW w:w="7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6556" w:rsidRDefault="002A6556">
            <w:pPr>
              <w:spacing w:before="60" w:after="60"/>
              <w:jc w:val="left"/>
            </w:pPr>
            <w:r>
              <w:rPr>
                <w:sz w:val="17"/>
                <w:szCs w:val="17"/>
              </w:rPr>
              <w:t>Portfolio health overview; all critical KPIs at a glance</w:t>
            </w:r>
          </w:p>
        </w:tc>
      </w:tr>
      <w:tr w:rsidR="002A6556" w:rsidTr="002A655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A6556" w:rsidRDefault="002A6556">
            <w:pPr>
              <w:spacing w:before="60" w:after="60"/>
              <w:jc w:val="left"/>
            </w:pPr>
            <w:r>
              <w:rPr>
                <w:b/>
                <w:bCs/>
                <w:color w:val="051C2C"/>
                <w:sz w:val="18"/>
                <w:szCs w:val="18"/>
              </w:rPr>
              <w:t>Loan Portfolio</w:t>
            </w:r>
          </w:p>
        </w:tc>
        <w:tc>
          <w:tcPr>
            <w:tcW w:w="7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A6556" w:rsidRDefault="002A6556">
            <w:pPr>
              <w:spacing w:before="60" w:after="60"/>
              <w:jc w:val="left"/>
            </w:pPr>
            <w:r>
              <w:rPr>
                <w:sz w:val="17"/>
                <w:szCs w:val="17"/>
              </w:rPr>
              <w:t>Drill-through loan detail, collateral analysis, and segment breakdown</w:t>
            </w:r>
          </w:p>
        </w:tc>
      </w:tr>
      <w:tr w:rsidR="002A6556" w:rsidTr="002A6556">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6556" w:rsidRDefault="002A6556">
            <w:pPr>
              <w:spacing w:before="60" w:after="60"/>
              <w:jc w:val="left"/>
            </w:pPr>
            <w:r>
              <w:rPr>
                <w:b/>
                <w:bCs/>
                <w:color w:val="051C2C"/>
                <w:sz w:val="18"/>
                <w:szCs w:val="18"/>
              </w:rPr>
              <w:t>Trend Analysis</w:t>
            </w:r>
          </w:p>
        </w:tc>
        <w:tc>
          <w:tcPr>
            <w:tcW w:w="733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6556" w:rsidRDefault="002A6556">
            <w:pPr>
              <w:spacing w:before="60" w:after="60"/>
              <w:jc w:val="left"/>
            </w:pPr>
            <w:r>
              <w:rPr>
                <w:sz w:val="17"/>
                <w:szCs w:val="17"/>
              </w:rPr>
              <w:t>NPL trends, and DPD aging over time</w:t>
            </w:r>
          </w:p>
        </w:tc>
      </w:tr>
    </w:tbl>
    <w:p w:rsidR="00A478A0" w:rsidRDefault="00E9042B">
      <w:pPr>
        <w:pStyle w:val="Heading21"/>
      </w:pPr>
      <w:r>
        <w:t>5.2 KPI Cards</w:t>
      </w:r>
    </w:p>
    <w:p w:rsidR="00A478A0" w:rsidRDefault="00E9042B" w:rsidP="002A6556">
      <w:pPr>
        <w:spacing w:after="120" w:line="276" w:lineRule="auto"/>
      </w:pPr>
      <w:r>
        <w:rPr>
          <w:sz w:val="20"/>
        </w:rPr>
        <w:t>The following KPI cards are displayed prominently across the dashboards:</w:t>
      </w:r>
    </w:p>
    <w:p w:rsidR="00A65D39" w:rsidRDefault="00A65D39">
      <w:pPr>
        <w:pStyle w:val="ListParagraph"/>
        <w:numPr>
          <w:ilvl w:val="0"/>
          <w:numId w:val="1"/>
        </w:numPr>
        <w:spacing w:before="40" w:after="40"/>
        <w:rPr>
          <w:sz w:val="19"/>
          <w:szCs w:val="19"/>
        </w:rPr>
        <w:sectPr w:rsidR="00A65D39" w:rsidSect="00A65D39">
          <w:headerReference w:type="default" r:id="rId7"/>
          <w:footerReference w:type="default" r:id="rId8"/>
          <w:pgSz w:w="12240" w:h="15840"/>
          <w:pgMar w:top="851" w:right="851" w:bottom="851" w:left="851" w:header="709" w:footer="709" w:gutter="0"/>
          <w:cols w:space="720"/>
          <w:docGrid w:linePitch="360"/>
        </w:sectPr>
      </w:pPr>
    </w:p>
    <w:p w:rsidR="00A478A0" w:rsidRDefault="00E9042B">
      <w:pPr>
        <w:pStyle w:val="ListParagraph"/>
        <w:numPr>
          <w:ilvl w:val="0"/>
          <w:numId w:val="1"/>
        </w:numPr>
        <w:spacing w:before="40" w:after="40"/>
      </w:pPr>
      <w:r>
        <w:rPr>
          <w:sz w:val="19"/>
          <w:szCs w:val="19"/>
        </w:rPr>
        <w:lastRenderedPageBreak/>
        <w:t>Total Portfolio Outstanding</w:t>
      </w:r>
    </w:p>
    <w:p w:rsidR="00A478A0" w:rsidRDefault="00E9042B">
      <w:pPr>
        <w:pStyle w:val="ListParagraph"/>
        <w:numPr>
          <w:ilvl w:val="0"/>
          <w:numId w:val="1"/>
        </w:numPr>
        <w:spacing w:before="40" w:after="40"/>
      </w:pPr>
      <w:r>
        <w:rPr>
          <w:sz w:val="19"/>
          <w:szCs w:val="19"/>
        </w:rPr>
        <w:t>NPL Amount</w:t>
      </w:r>
    </w:p>
    <w:p w:rsidR="00A478A0" w:rsidRDefault="00E9042B">
      <w:pPr>
        <w:pStyle w:val="ListParagraph"/>
        <w:numPr>
          <w:ilvl w:val="0"/>
          <w:numId w:val="1"/>
        </w:numPr>
        <w:spacing w:before="40" w:after="40"/>
      </w:pPr>
      <w:r>
        <w:rPr>
          <w:sz w:val="19"/>
          <w:szCs w:val="19"/>
        </w:rPr>
        <w:t>NPL Ratio</w:t>
      </w:r>
    </w:p>
    <w:p w:rsidR="00A478A0" w:rsidRDefault="00E9042B">
      <w:pPr>
        <w:pStyle w:val="ListParagraph"/>
        <w:numPr>
          <w:ilvl w:val="0"/>
          <w:numId w:val="1"/>
        </w:numPr>
        <w:spacing w:before="40" w:after="40"/>
      </w:pPr>
      <w:r>
        <w:rPr>
          <w:sz w:val="19"/>
          <w:szCs w:val="19"/>
        </w:rPr>
        <w:t>Alert Count</w:t>
      </w:r>
    </w:p>
    <w:p w:rsidR="00A478A0" w:rsidRDefault="00E9042B">
      <w:pPr>
        <w:pStyle w:val="ListParagraph"/>
        <w:numPr>
          <w:ilvl w:val="0"/>
          <w:numId w:val="1"/>
        </w:numPr>
        <w:spacing w:before="40" w:after="40"/>
      </w:pPr>
      <w:r>
        <w:rPr>
          <w:sz w:val="19"/>
          <w:szCs w:val="19"/>
        </w:rPr>
        <w:t>Total Provision</w:t>
      </w:r>
    </w:p>
    <w:p w:rsidR="00A478A0" w:rsidRDefault="00E9042B">
      <w:pPr>
        <w:pStyle w:val="ListParagraph"/>
        <w:numPr>
          <w:ilvl w:val="0"/>
          <w:numId w:val="1"/>
        </w:numPr>
        <w:spacing w:before="40" w:after="40"/>
      </w:pPr>
      <w:r>
        <w:rPr>
          <w:sz w:val="19"/>
          <w:szCs w:val="19"/>
        </w:rPr>
        <w:lastRenderedPageBreak/>
        <w:t>Total Loans</w:t>
      </w:r>
    </w:p>
    <w:p w:rsidR="00A478A0" w:rsidRDefault="00E9042B">
      <w:pPr>
        <w:pStyle w:val="ListParagraph"/>
        <w:numPr>
          <w:ilvl w:val="0"/>
          <w:numId w:val="1"/>
        </w:numPr>
        <w:spacing w:before="40" w:after="40"/>
      </w:pPr>
      <w:r>
        <w:rPr>
          <w:sz w:val="19"/>
          <w:szCs w:val="19"/>
        </w:rPr>
        <w:t>Average Loan Size</w:t>
      </w:r>
    </w:p>
    <w:p w:rsidR="00A478A0" w:rsidRDefault="00E9042B">
      <w:pPr>
        <w:pStyle w:val="ListParagraph"/>
        <w:numPr>
          <w:ilvl w:val="0"/>
          <w:numId w:val="1"/>
        </w:numPr>
        <w:spacing w:before="40" w:after="40"/>
      </w:pPr>
      <w:r>
        <w:rPr>
          <w:sz w:val="19"/>
          <w:szCs w:val="19"/>
        </w:rPr>
        <w:t>Average Tenor</w:t>
      </w:r>
    </w:p>
    <w:p w:rsidR="00CB79BF" w:rsidRDefault="00E9042B" w:rsidP="00E9042B">
      <w:pPr>
        <w:pStyle w:val="ListParagraph"/>
        <w:numPr>
          <w:ilvl w:val="0"/>
          <w:numId w:val="1"/>
        </w:numPr>
        <w:spacing w:before="40" w:after="40"/>
        <w:sectPr w:rsidR="00CB79BF" w:rsidSect="00F35D35">
          <w:type w:val="continuous"/>
          <w:pgSz w:w="12240" w:h="15840"/>
          <w:pgMar w:top="851" w:right="851" w:bottom="851" w:left="851" w:header="709" w:footer="709" w:gutter="0"/>
          <w:cols w:num="2" w:space="720"/>
          <w:docGrid w:linePitch="360"/>
        </w:sectPr>
      </w:pPr>
      <w:r w:rsidRPr="00CB79BF">
        <w:rPr>
          <w:sz w:val="19"/>
          <w:szCs w:val="19"/>
        </w:rPr>
        <w:t>Average Interest Rate</w:t>
      </w:r>
    </w:p>
    <w:p w:rsidR="00A478A0" w:rsidRDefault="00E9042B">
      <w:pPr>
        <w:pStyle w:val="Heading21"/>
      </w:pPr>
      <w:r>
        <w:lastRenderedPageBreak/>
        <w:t xml:space="preserve">5.3 </w:t>
      </w:r>
      <w:r w:rsidR="007968C2">
        <w:t>Visualizations</w:t>
      </w:r>
      <w:r>
        <w:t xml:space="preserve"> Used</w:t>
      </w:r>
    </w:p>
    <w:p w:rsidR="00A478A0" w:rsidRDefault="00E9042B">
      <w:pPr>
        <w:spacing w:before="180" w:after="60"/>
      </w:pPr>
      <w:r>
        <w:rPr>
          <w:b/>
          <w:bCs/>
          <w:color w:val="8B3A00"/>
          <w:sz w:val="20"/>
        </w:rPr>
        <w:t>Column Charts</w:t>
      </w:r>
    </w:p>
    <w:p w:rsidR="00A478A0" w:rsidRDefault="00E9042B">
      <w:pPr>
        <w:pStyle w:val="ListParagraph"/>
        <w:numPr>
          <w:ilvl w:val="0"/>
          <w:numId w:val="1"/>
        </w:numPr>
        <w:spacing w:before="40" w:after="40"/>
      </w:pPr>
      <w:r>
        <w:rPr>
          <w:sz w:val="19"/>
          <w:szCs w:val="19"/>
        </w:rPr>
        <w:t>Non-Performing Loan Ratio by Year — tracks annual NPL trend against the CBN 5% regulatory limit</w:t>
      </w:r>
    </w:p>
    <w:p w:rsidR="00A478A0" w:rsidRDefault="00E9042B" w:rsidP="00A65D39">
      <w:pPr>
        <w:pStyle w:val="ListParagraph"/>
        <w:numPr>
          <w:ilvl w:val="0"/>
          <w:numId w:val="1"/>
        </w:numPr>
        <w:spacing w:before="40" w:after="40"/>
      </w:pPr>
      <w:r>
        <w:rPr>
          <w:sz w:val="19"/>
          <w:szCs w:val="19"/>
        </w:rPr>
        <w:t>Loans by Overdue Days (DPD Aging Buckets) — shows distribution of loans across six delinquency bands: Current, 1–30, 31–60, 61–90, 91–180, and 180+ DPD</w:t>
      </w:r>
    </w:p>
    <w:p w:rsidR="00A478A0" w:rsidRDefault="00E9042B">
      <w:pPr>
        <w:spacing w:before="180" w:after="60"/>
      </w:pPr>
      <w:r>
        <w:rPr>
          <w:b/>
          <w:bCs/>
          <w:color w:val="8B3A00"/>
          <w:sz w:val="20"/>
        </w:rPr>
        <w:t>Bar Charts</w:t>
      </w:r>
    </w:p>
    <w:p w:rsidR="00A478A0" w:rsidRDefault="00E9042B">
      <w:pPr>
        <w:pStyle w:val="ListParagraph"/>
        <w:numPr>
          <w:ilvl w:val="0"/>
          <w:numId w:val="1"/>
        </w:numPr>
        <w:spacing w:before="40" w:after="40"/>
      </w:pPr>
      <w:r>
        <w:rPr>
          <w:sz w:val="19"/>
          <w:szCs w:val="19"/>
        </w:rPr>
        <w:t>Outstanding Balance by Loan Type — portfolio exposure breakdown across Personal Loan, Mortgage, Business Loan, Auto Loan, Education Loan, and Agricultural Loan</w:t>
      </w:r>
    </w:p>
    <w:p w:rsidR="00A478A0" w:rsidRDefault="00E9042B">
      <w:pPr>
        <w:pStyle w:val="ListParagraph"/>
        <w:numPr>
          <w:ilvl w:val="0"/>
          <w:numId w:val="1"/>
        </w:numPr>
        <w:spacing w:before="40" w:after="40"/>
      </w:pPr>
      <w:r>
        <w:rPr>
          <w:sz w:val="19"/>
          <w:szCs w:val="19"/>
        </w:rPr>
        <w:t>Loan Classification Distribution — percentage share of each CBN risk grade by outstanding balance</w:t>
      </w:r>
    </w:p>
    <w:p w:rsidR="00A478A0" w:rsidRDefault="00E9042B" w:rsidP="00A65D39">
      <w:pPr>
        <w:pStyle w:val="ListParagraph"/>
        <w:numPr>
          <w:ilvl w:val="0"/>
          <w:numId w:val="1"/>
        </w:numPr>
        <w:spacing w:before="40" w:after="40"/>
      </w:pPr>
      <w:r>
        <w:rPr>
          <w:sz w:val="19"/>
          <w:szCs w:val="19"/>
        </w:rPr>
        <w:t>Outstanding Balance by Branch — NPL concentration across all ten branches</w:t>
      </w:r>
    </w:p>
    <w:p w:rsidR="00A478A0" w:rsidRDefault="00E9042B">
      <w:pPr>
        <w:spacing w:before="180" w:after="60"/>
      </w:pPr>
      <w:r>
        <w:rPr>
          <w:b/>
          <w:bCs/>
          <w:color w:val="8B3A00"/>
          <w:sz w:val="20"/>
        </w:rPr>
        <w:t>Doughnut Chart</w:t>
      </w:r>
    </w:p>
    <w:p w:rsidR="00A478A0" w:rsidRDefault="00E9042B" w:rsidP="00A65D39">
      <w:pPr>
        <w:pStyle w:val="ListParagraph"/>
        <w:numPr>
          <w:ilvl w:val="0"/>
          <w:numId w:val="1"/>
        </w:numPr>
        <w:spacing w:before="40" w:after="40"/>
      </w:pPr>
      <w:r>
        <w:rPr>
          <w:sz w:val="19"/>
          <w:szCs w:val="19"/>
        </w:rPr>
        <w:t>Borrower Segment Mix — portfolio count breakdown by segment: Individual, SME, Corporate, and Micro Business</w:t>
      </w:r>
    </w:p>
    <w:p w:rsidR="00A478A0" w:rsidRDefault="00E9042B">
      <w:pPr>
        <w:spacing w:before="180" w:after="60"/>
      </w:pPr>
      <w:r>
        <w:rPr>
          <w:b/>
          <w:bCs/>
          <w:color w:val="8B3A00"/>
          <w:sz w:val="20"/>
        </w:rPr>
        <w:t>Tables</w:t>
      </w:r>
    </w:p>
    <w:p w:rsidR="00A478A0" w:rsidRDefault="00E9042B">
      <w:pPr>
        <w:pStyle w:val="ListParagraph"/>
        <w:numPr>
          <w:ilvl w:val="0"/>
          <w:numId w:val="1"/>
        </w:numPr>
        <w:spacing w:before="40" w:after="40"/>
      </w:pPr>
      <w:r>
        <w:rPr>
          <w:sz w:val="19"/>
          <w:szCs w:val="19"/>
        </w:rPr>
        <w:t>Portfolio Health — risk category breakdown showing count and percentage per risk band</w:t>
      </w:r>
    </w:p>
    <w:p w:rsidR="00A478A0" w:rsidRDefault="00E9042B">
      <w:pPr>
        <w:pStyle w:val="ListParagraph"/>
        <w:numPr>
          <w:ilvl w:val="0"/>
          <w:numId w:val="1"/>
        </w:numPr>
        <w:spacing w:before="40" w:after="40"/>
      </w:pPr>
      <w:r>
        <w:rPr>
          <w:sz w:val="19"/>
          <w:szCs w:val="19"/>
        </w:rPr>
        <w:t>High Risk and Overdue Loans — live alert queue of all flagged accounts with Loan ID, branch, DPD, classification, risk score, and outstanding balance</w:t>
      </w:r>
    </w:p>
    <w:p w:rsidR="00A478A0" w:rsidRDefault="00E9042B">
      <w:pPr>
        <w:pStyle w:val="ListParagraph"/>
        <w:numPr>
          <w:ilvl w:val="0"/>
          <w:numId w:val="1"/>
        </w:numPr>
        <w:spacing w:before="40" w:after="40"/>
      </w:pPr>
      <w:r>
        <w:rPr>
          <w:sz w:val="19"/>
          <w:szCs w:val="19"/>
        </w:rPr>
        <w:t>Collateral Type &amp; Coverage — collateral category analysis with count and average coverage ratio</w:t>
      </w:r>
    </w:p>
    <w:p w:rsidR="00A478A0" w:rsidRDefault="00E9042B" w:rsidP="00A65D39">
      <w:pPr>
        <w:pStyle w:val="ListParagraph"/>
        <w:numPr>
          <w:ilvl w:val="0"/>
          <w:numId w:val="1"/>
        </w:numPr>
        <w:spacing w:before="40" w:after="40"/>
      </w:pPr>
      <w:r>
        <w:rPr>
          <w:sz w:val="19"/>
          <w:szCs w:val="19"/>
        </w:rPr>
        <w:t>Loan Detail — All Active Accounts — complete loan-level detail table with all key fields</w:t>
      </w:r>
    </w:p>
    <w:p w:rsidR="00CB79BF" w:rsidRDefault="00CB79BF">
      <w:pPr>
        <w:jc w:val="left"/>
        <w:rPr>
          <w:b/>
          <w:bCs/>
          <w:color w:val="8B3A00"/>
          <w:sz w:val="20"/>
        </w:rPr>
      </w:pPr>
      <w:r>
        <w:rPr>
          <w:b/>
          <w:bCs/>
          <w:color w:val="8B3A00"/>
          <w:sz w:val="20"/>
        </w:rPr>
        <w:br w:type="page"/>
      </w:r>
    </w:p>
    <w:p w:rsidR="00A478A0" w:rsidRDefault="00E9042B">
      <w:pPr>
        <w:spacing w:before="180" w:after="60"/>
      </w:pPr>
      <w:r>
        <w:rPr>
          <w:b/>
          <w:bCs/>
          <w:color w:val="8B3A00"/>
          <w:sz w:val="20"/>
        </w:rPr>
        <w:lastRenderedPageBreak/>
        <w:t>Line Chart</w:t>
      </w:r>
    </w:p>
    <w:p w:rsidR="00A478A0" w:rsidRDefault="00E9042B" w:rsidP="00AF2FC1">
      <w:pPr>
        <w:pStyle w:val="ListParagraph"/>
        <w:numPr>
          <w:ilvl w:val="0"/>
          <w:numId w:val="1"/>
        </w:numPr>
        <w:spacing w:before="40" w:after="40"/>
      </w:pPr>
      <w:r>
        <w:rPr>
          <w:sz w:val="19"/>
          <w:szCs w:val="19"/>
        </w:rPr>
        <w:t>Portfolio, Non-Performing Loan Amount, and Total Provision by Year — 4-year trend view (2021–2024) showing portfolio trajectory and provision build</w:t>
      </w:r>
    </w:p>
    <w:p w:rsidR="00A478A0" w:rsidRDefault="00E9042B">
      <w:pPr>
        <w:pStyle w:val="Heading21"/>
      </w:pPr>
      <w:r>
        <w:t>5.4 Slicers (Interactive Filters)</w:t>
      </w:r>
    </w:p>
    <w:p w:rsidR="00A478A0" w:rsidRDefault="00E9042B" w:rsidP="00AF2FC1">
      <w:pPr>
        <w:spacing w:after="120" w:line="276" w:lineRule="auto"/>
      </w:pPr>
      <w:r>
        <w:rPr>
          <w:sz w:val="20"/>
        </w:rPr>
        <w:t>All visuals are dynamic and update based on the following filter controls applied across the dashboards:</w:t>
      </w:r>
    </w:p>
    <w:p w:rsidR="00A478A0" w:rsidRDefault="00E9042B">
      <w:pPr>
        <w:pStyle w:val="ListParagraph"/>
        <w:numPr>
          <w:ilvl w:val="0"/>
          <w:numId w:val="1"/>
        </w:numPr>
        <w:spacing w:before="40" w:after="40"/>
      </w:pPr>
      <w:r>
        <w:rPr>
          <w:sz w:val="19"/>
          <w:szCs w:val="19"/>
        </w:rPr>
        <w:t>Branch</w:t>
      </w:r>
    </w:p>
    <w:p w:rsidR="00A478A0" w:rsidRDefault="00E9042B">
      <w:pPr>
        <w:pStyle w:val="ListParagraph"/>
        <w:numPr>
          <w:ilvl w:val="0"/>
          <w:numId w:val="1"/>
        </w:numPr>
        <w:spacing w:before="40" w:after="40"/>
      </w:pPr>
      <w:r>
        <w:rPr>
          <w:sz w:val="19"/>
          <w:szCs w:val="19"/>
        </w:rPr>
        <w:t>Loan Type</w:t>
      </w:r>
    </w:p>
    <w:p w:rsidR="00A478A0" w:rsidRDefault="00E9042B">
      <w:pPr>
        <w:pStyle w:val="ListParagraph"/>
        <w:numPr>
          <w:ilvl w:val="0"/>
          <w:numId w:val="1"/>
        </w:numPr>
        <w:spacing w:before="40" w:after="40"/>
      </w:pPr>
      <w:r>
        <w:rPr>
          <w:sz w:val="19"/>
          <w:szCs w:val="19"/>
        </w:rPr>
        <w:t>Loan Classification</w:t>
      </w:r>
    </w:p>
    <w:p w:rsidR="00A478A0" w:rsidRDefault="00E9042B">
      <w:pPr>
        <w:pStyle w:val="ListParagraph"/>
        <w:numPr>
          <w:ilvl w:val="0"/>
          <w:numId w:val="1"/>
        </w:numPr>
        <w:spacing w:before="40" w:after="40"/>
      </w:pPr>
      <w:r>
        <w:rPr>
          <w:sz w:val="19"/>
          <w:szCs w:val="19"/>
        </w:rPr>
        <w:t>Disbursement Date</w:t>
      </w:r>
    </w:p>
    <w:p w:rsidR="00A478A0" w:rsidRDefault="00E9042B">
      <w:pPr>
        <w:pStyle w:val="ListParagraph"/>
        <w:numPr>
          <w:ilvl w:val="0"/>
          <w:numId w:val="1"/>
        </w:numPr>
        <w:spacing w:before="40" w:after="40"/>
      </w:pPr>
      <w:r>
        <w:rPr>
          <w:sz w:val="19"/>
          <w:szCs w:val="19"/>
        </w:rPr>
        <w:t>Borrower Type</w:t>
      </w:r>
    </w:p>
    <w:p w:rsidR="00A478A0" w:rsidRDefault="00E9042B">
      <w:pPr>
        <w:pStyle w:val="ListParagraph"/>
        <w:numPr>
          <w:ilvl w:val="0"/>
          <w:numId w:val="1"/>
        </w:numPr>
        <w:spacing w:before="40" w:after="40"/>
      </w:pPr>
      <w:r>
        <w:rPr>
          <w:sz w:val="19"/>
          <w:szCs w:val="19"/>
        </w:rPr>
        <w:t>Year</w:t>
      </w:r>
    </w:p>
    <w:p w:rsidR="00A478A0" w:rsidRDefault="00E9042B">
      <w:r>
        <w:br w:type="page"/>
      </w:r>
    </w:p>
    <w:p w:rsidR="00A478A0" w:rsidRDefault="00E9042B">
      <w:pPr>
        <w:pStyle w:val="Heading11"/>
        <w:pBdr>
          <w:bottom w:val="single" w:sz="12" w:space="6" w:color="051C2C"/>
        </w:pBdr>
      </w:pPr>
      <w:r>
        <w:rPr>
          <w:spacing w:val="80"/>
        </w:rPr>
        <w:lastRenderedPageBreak/>
        <w:t>6. KEY FINDINGS &amp; INSIGHTS</w:t>
      </w:r>
    </w:p>
    <w:p w:rsidR="00A478A0" w:rsidRDefault="00E9042B" w:rsidP="00AF2FC1">
      <w:pPr>
        <w:spacing w:after="120" w:line="276" w:lineRule="auto"/>
      </w:pPr>
      <w:r>
        <w:rPr>
          <w:sz w:val="20"/>
        </w:rPr>
        <w:t>The following findings emerged from the portfolio analysis. Each finding is grounded in the data and carries direct implications for management action.</w:t>
      </w:r>
    </w:p>
    <w:p w:rsidR="00A478A0" w:rsidRDefault="00E9042B">
      <w:pPr>
        <w:pStyle w:val="Heading21"/>
      </w:pPr>
      <w:r>
        <w:t>Finding 1 — NPL Ratio Critically Exceeds Both the Regulatory Limit and the Industry Average</w:t>
      </w:r>
    </w:p>
    <w:p w:rsidR="00A478A0" w:rsidRDefault="00E9042B" w:rsidP="00AF2FC1">
      <w:pPr>
        <w:spacing w:after="120" w:line="276" w:lineRule="auto"/>
      </w:pPr>
      <w:r>
        <w:rPr>
          <w:sz w:val="20"/>
        </w:rPr>
        <w:t>At 17.2%, the portfolio NPL ratio is 3.44 times the CBN regulatory ceiling of 5% and 2.46 times the current Nigerian banking industry average of 7%, as reported by the CBN i</w:t>
      </w:r>
      <w:r w:rsidR="00AF2FC1">
        <w:rPr>
          <w:sz w:val="20"/>
        </w:rPr>
        <w:t>n its 2025</w:t>
      </w:r>
      <w:r>
        <w:rPr>
          <w:sz w:val="20"/>
        </w:rPr>
        <w:t>. This represents a systemic credit quality failure that warrants board-level escalat</w:t>
      </w:r>
      <w:r w:rsidR="00AF2FC1">
        <w:rPr>
          <w:sz w:val="20"/>
        </w:rPr>
        <w:t>ion. In a licensed institution.</w:t>
      </w:r>
    </w:p>
    <w:p w:rsidR="00A478A0" w:rsidRDefault="00E9042B">
      <w:pPr>
        <w:pStyle w:val="Heading21"/>
      </w:pPr>
      <w:r>
        <w:t>Finding 2 — Significant Proportion of the Portfolio is Completely Unsecured</w:t>
      </w:r>
    </w:p>
    <w:p w:rsidR="00A478A0" w:rsidRDefault="00E9042B" w:rsidP="00392CDC">
      <w:pPr>
        <w:spacing w:after="120" w:line="276" w:lineRule="auto"/>
      </w:pPr>
      <w:r>
        <w:rPr>
          <w:sz w:val="20"/>
        </w:rPr>
        <w:t>3,099 loans, representing 10.3% of the total portfolio, carry zero collateral of any kind. A further 1,501 loans (5.0% of the portfolio) are secure</w:t>
      </w:r>
      <w:r w:rsidR="00611B57">
        <w:rPr>
          <w:sz w:val="20"/>
        </w:rPr>
        <w:t xml:space="preserve">d only by inventory. </w:t>
      </w:r>
      <w:r>
        <w:rPr>
          <w:sz w:val="20"/>
        </w:rPr>
        <w:t>Combined, these 4,600 accounts represent a material unsecured risk exposure with limited recovery mechanisms available to the institution.</w:t>
      </w:r>
    </w:p>
    <w:p w:rsidR="00A478A0" w:rsidRDefault="00E9042B">
      <w:pPr>
        <w:pStyle w:val="Heading21"/>
      </w:pPr>
      <w:r>
        <w:t>Finding 3 — Cohort Deterioration in Newer Vintages Signals Underwriting Weakness</w:t>
      </w:r>
    </w:p>
    <w:p w:rsidR="00A478A0" w:rsidRPr="00392CDC" w:rsidRDefault="00E9042B" w:rsidP="00392CDC">
      <w:pPr>
        <w:spacing w:before="60" w:after="100" w:line="276" w:lineRule="auto"/>
        <w:rPr>
          <w:rFonts w:eastAsia="Arial"/>
          <w:color w:val="auto"/>
          <w:sz w:val="20"/>
        </w:rPr>
      </w:pPr>
      <w:r w:rsidRPr="00392CDC">
        <w:rPr>
          <w:sz w:val="20"/>
        </w:rPr>
        <w:t>Loans disbursed in 2024 show markedly higher proportions of Substandard and Doubtful classific</w:t>
      </w:r>
      <w:r w:rsidR="00392CDC" w:rsidRPr="00392CDC">
        <w:rPr>
          <w:sz w:val="20"/>
        </w:rPr>
        <w:t>ations when compared with loan</w:t>
      </w:r>
      <w:r w:rsidRPr="00392CDC">
        <w:rPr>
          <w:sz w:val="20"/>
        </w:rPr>
        <w:t>s</w:t>
      </w:r>
      <w:r w:rsidR="00392CDC" w:rsidRPr="00392CDC">
        <w:rPr>
          <w:sz w:val="20"/>
        </w:rPr>
        <w:t xml:space="preserve"> disbursed</w:t>
      </w:r>
      <w:r w:rsidRPr="00392CDC">
        <w:rPr>
          <w:sz w:val="20"/>
        </w:rPr>
        <w:t xml:space="preserve"> from 2021, 2022, and 2023 at equivalent points in their loan lifecycle. </w:t>
      </w:r>
      <w:r w:rsidR="00392CDC" w:rsidRPr="00392CDC">
        <w:rPr>
          <w:sz w:val="20"/>
        </w:rPr>
        <w:t>This pattern</w:t>
      </w:r>
      <w:r w:rsidR="00B17308">
        <w:rPr>
          <w:sz w:val="20"/>
        </w:rPr>
        <w:t xml:space="preserve"> suggests possible loosening of underwriting stands during disbursement process.</w:t>
      </w:r>
    </w:p>
    <w:p w:rsidR="00A478A0" w:rsidRDefault="00E9042B">
      <w:pPr>
        <w:pStyle w:val="Heading21"/>
      </w:pPr>
      <w:r>
        <w:t xml:space="preserve">Finding 4 — Geographic Concentration Risk in Port Harcourt and </w:t>
      </w:r>
      <w:proofErr w:type="spellStart"/>
      <w:r>
        <w:t>Calabar</w:t>
      </w:r>
      <w:proofErr w:type="spellEnd"/>
    </w:p>
    <w:p w:rsidR="00A478A0" w:rsidRDefault="00E9042B">
      <w:pPr>
        <w:spacing w:after="120" w:line="276" w:lineRule="auto"/>
      </w:pPr>
      <w:r>
        <w:rPr>
          <w:sz w:val="20"/>
        </w:rPr>
        <w:t xml:space="preserve">Port Harcourt carries the highest proportion of Loss-grade loans, representing 11.74% of the total outstanding loan balance. </w:t>
      </w:r>
      <w:proofErr w:type="spellStart"/>
      <w:r>
        <w:rPr>
          <w:sz w:val="20"/>
        </w:rPr>
        <w:t>Calabar</w:t>
      </w:r>
      <w:proofErr w:type="spellEnd"/>
      <w:r>
        <w:rPr>
          <w:sz w:val="20"/>
        </w:rPr>
        <w:t xml:space="preserve"> has the highest combined share of Doubtful and Loss loans at 11.63% of the outstanding balance. This geographic concentration means that economic or operational shocks affecting these two cities could have a disproportionate and systemic impact on the overall portfolio quality. All branches have the combined share of Doubtful and Loss loans between 8.97% - 11.63%.</w:t>
      </w:r>
    </w:p>
    <w:p w:rsidR="00A478A0" w:rsidRDefault="00A478A0"/>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
        <w:gridCol w:w="10244"/>
      </w:tblGrid>
      <w:tr w:rsidR="00A478A0" w:rsidTr="00E9042B">
        <w:tblPrEx>
          <w:tblCellMar>
            <w:top w:w="0" w:type="dxa"/>
            <w:bottom w:w="0" w:type="dxa"/>
          </w:tblCellMar>
        </w:tblPrEx>
        <w:tc>
          <w:tcPr>
            <w:tcW w:w="246" w:type="dxa"/>
            <w:tcBorders>
              <w:top w:val="none" w:sz="0" w:space="0" w:color="FFFFFF"/>
              <w:left w:val="none" w:sz="0" w:space="0" w:color="FFFFFF"/>
              <w:bottom w:val="none" w:sz="0" w:space="0" w:color="FFFFFF"/>
              <w:right w:val="none" w:sz="0" w:space="0" w:color="FFFFFF"/>
            </w:tcBorders>
            <w:shd w:val="clear" w:color="auto" w:fill="8B3A00"/>
            <w:tcMar>
              <w:top w:w="80" w:type="dxa"/>
              <w:left w:w="120" w:type="dxa"/>
              <w:bottom w:w="80" w:type="dxa"/>
              <w:right w:w="120" w:type="dxa"/>
            </w:tcMar>
          </w:tcPr>
          <w:p w:rsidR="00A478A0" w:rsidRDefault="00A478A0"/>
        </w:tc>
        <w:tc>
          <w:tcPr>
            <w:tcW w:w="10244" w:type="dxa"/>
            <w:tcBorders>
              <w:top w:val="none" w:sz="0" w:space="0" w:color="FFFFFF"/>
              <w:left w:val="none" w:sz="0" w:space="0" w:color="FFFFFF"/>
              <w:bottom w:val="none" w:sz="0" w:space="0" w:color="FFFFFF"/>
              <w:right w:val="none" w:sz="0" w:space="0" w:color="FFFFFF"/>
            </w:tcBorders>
            <w:shd w:val="clear" w:color="auto" w:fill="F5EBE0"/>
            <w:tcMar>
              <w:top w:w="80" w:type="dxa"/>
              <w:left w:w="120" w:type="dxa"/>
              <w:bottom w:w="80" w:type="dxa"/>
              <w:right w:w="120" w:type="dxa"/>
            </w:tcMar>
          </w:tcPr>
          <w:p w:rsidR="00A478A0" w:rsidRDefault="00E9042B">
            <w:pPr>
              <w:spacing w:before="60" w:after="30"/>
            </w:pPr>
            <w:r>
              <w:rPr>
                <w:b/>
                <w:bCs/>
                <w:color w:val="051C2C"/>
                <w:sz w:val="19"/>
                <w:szCs w:val="19"/>
              </w:rPr>
              <w:t>NPL Trend Note</w:t>
            </w:r>
          </w:p>
          <w:p w:rsidR="00A478A0" w:rsidRDefault="00E9042B">
            <w:pPr>
              <w:spacing w:before="20" w:after="60"/>
            </w:pPr>
            <w:r>
              <w:rPr>
                <w:sz w:val="18"/>
                <w:szCs w:val="18"/>
              </w:rPr>
              <w:t>The NPL ratio rose from 16.3% in 2023 to 17.2% in 2024, continuing a consistent upward trend that began in 2021 (17.7%) — with a brief dip in 2022 (17.6%) and 2023 (16.3%). Without corrective intervention, the trend is expected to resume its upward trajectory based on the current pipeline of Watch and Substandard accounts.</w:t>
            </w:r>
          </w:p>
        </w:tc>
      </w:tr>
    </w:tbl>
    <w:p w:rsidR="00A478A0" w:rsidRDefault="00E9042B">
      <w:r>
        <w:br w:type="page"/>
      </w:r>
    </w:p>
    <w:p w:rsidR="00A478A0" w:rsidRDefault="00E9042B">
      <w:pPr>
        <w:pStyle w:val="Heading11"/>
        <w:pBdr>
          <w:bottom w:val="single" w:sz="12" w:space="6" w:color="051C2C"/>
        </w:pBdr>
      </w:pPr>
      <w:r>
        <w:rPr>
          <w:spacing w:val="80"/>
        </w:rPr>
        <w:lastRenderedPageBreak/>
        <w:t>7. RECOMMENDATIONS</w:t>
      </w:r>
    </w:p>
    <w:p w:rsidR="00A478A0" w:rsidRDefault="00E9042B">
      <w:pPr>
        <w:spacing w:after="120" w:line="276" w:lineRule="auto"/>
      </w:pPr>
      <w:r>
        <w:rPr>
          <w:sz w:val="20"/>
        </w:rPr>
        <w:t xml:space="preserve">The following recommendations are </w:t>
      </w:r>
      <w:r w:rsidR="009C4D7D">
        <w:rPr>
          <w:sz w:val="20"/>
        </w:rPr>
        <w:t>prioritized</w:t>
      </w:r>
      <w:r>
        <w:rPr>
          <w:sz w:val="20"/>
        </w:rPr>
        <w:t xml:space="preserve"> based on urgency and potential impact on portfolio recovery. They should be actioned in sequence, with board-level endorsement for Recommendations 1 and 2.</w:t>
      </w:r>
    </w:p>
    <w:p w:rsidR="00A478A0" w:rsidRDefault="00A478A0"/>
    <w:tbl>
      <w:tblPr>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2160"/>
        <w:gridCol w:w="5925"/>
        <w:gridCol w:w="2127"/>
      </w:tblGrid>
      <w:tr w:rsidR="00A478A0" w:rsidTr="009C4D7D">
        <w:tblPrEx>
          <w:tblCellMar>
            <w:top w:w="0" w:type="dxa"/>
            <w:bottom w:w="0" w:type="dxa"/>
          </w:tblCellMar>
        </w:tblPrEx>
        <w:tc>
          <w:tcPr>
            <w:tcW w:w="420"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A478A0" w:rsidRDefault="00E9042B">
            <w:pPr>
              <w:spacing w:before="60" w:after="60"/>
              <w:jc w:val="left"/>
            </w:pPr>
            <w:r>
              <w:rPr>
                <w:b/>
                <w:bCs/>
                <w:color w:val="FFFFFF"/>
                <w:sz w:val="18"/>
                <w:szCs w:val="18"/>
              </w:rPr>
              <w:t>#</w:t>
            </w:r>
          </w:p>
        </w:tc>
        <w:tc>
          <w:tcPr>
            <w:tcW w:w="2160"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A478A0" w:rsidRDefault="00E9042B">
            <w:pPr>
              <w:spacing w:before="60" w:after="60"/>
              <w:jc w:val="left"/>
            </w:pPr>
            <w:r>
              <w:rPr>
                <w:b/>
                <w:bCs/>
                <w:color w:val="FFFFFF"/>
                <w:sz w:val="18"/>
                <w:szCs w:val="18"/>
              </w:rPr>
              <w:t>Recommendation</w:t>
            </w:r>
          </w:p>
        </w:tc>
        <w:tc>
          <w:tcPr>
            <w:tcW w:w="5925"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A478A0" w:rsidRDefault="00E9042B">
            <w:pPr>
              <w:spacing w:before="60" w:after="60"/>
              <w:jc w:val="left"/>
            </w:pPr>
            <w:r>
              <w:rPr>
                <w:b/>
                <w:bCs/>
                <w:color w:val="FFFFFF"/>
                <w:sz w:val="18"/>
                <w:szCs w:val="18"/>
              </w:rPr>
              <w:t>Action Required</w:t>
            </w:r>
          </w:p>
        </w:tc>
        <w:tc>
          <w:tcPr>
            <w:tcW w:w="2127" w:type="dxa"/>
            <w:tcBorders>
              <w:top w:val="none" w:sz="0" w:space="0" w:color="FFFFFF"/>
              <w:left w:val="none" w:sz="0" w:space="0" w:color="FFFFFF"/>
              <w:bottom w:val="none" w:sz="0" w:space="0" w:color="FFFFFF"/>
              <w:right w:val="none" w:sz="0" w:space="0" w:color="FFFFFF"/>
            </w:tcBorders>
            <w:shd w:val="clear" w:color="auto" w:fill="051C2C"/>
            <w:tcMar>
              <w:top w:w="80" w:type="dxa"/>
              <w:left w:w="120" w:type="dxa"/>
              <w:bottom w:w="80" w:type="dxa"/>
              <w:right w:w="120" w:type="dxa"/>
            </w:tcMar>
          </w:tcPr>
          <w:p w:rsidR="00A478A0" w:rsidRDefault="00E9042B">
            <w:pPr>
              <w:spacing w:before="60" w:after="60"/>
              <w:jc w:val="left"/>
            </w:pPr>
            <w:r>
              <w:rPr>
                <w:b/>
                <w:bCs/>
                <w:color w:val="FFFFFF"/>
                <w:sz w:val="18"/>
                <w:szCs w:val="18"/>
              </w:rPr>
              <w:t>Priority</w:t>
            </w:r>
          </w:p>
        </w:tc>
      </w:tr>
      <w:tr w:rsidR="00A478A0" w:rsidTr="009C4D7D">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C0392B"/>
                <w:sz w:val="18"/>
                <w:szCs w:val="18"/>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642EC7">
            <w:pPr>
              <w:spacing w:before="60" w:after="60"/>
              <w:jc w:val="left"/>
            </w:pPr>
            <w:r>
              <w:rPr>
                <w:b/>
                <w:bCs/>
                <w:color w:val="C0392B"/>
                <w:sz w:val="18"/>
                <w:szCs w:val="18"/>
              </w:rPr>
              <w:t>Prioritize</w:t>
            </w:r>
            <w:r w:rsidR="00E9042B">
              <w:rPr>
                <w:b/>
                <w:bCs/>
                <w:color w:val="C0392B"/>
                <w:sz w:val="18"/>
                <w:szCs w:val="18"/>
              </w:rPr>
              <w:t xml:space="preserve"> Recovery of Critical Risk Accounts</w:t>
            </w:r>
          </w:p>
        </w:tc>
        <w:tc>
          <w:tcPr>
            <w:tcW w:w="5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rsidP="009C4D7D">
            <w:pPr>
              <w:spacing w:before="60" w:after="60"/>
              <w:jc w:val="left"/>
            </w:pPr>
            <w:r>
              <w:rPr>
                <w:sz w:val="17"/>
                <w:szCs w:val="17"/>
              </w:rPr>
              <w:t>All accounts exceeding 365 DPD with low collateral values should be referred for immediate legal enforcement proceedings. Recovery of accounts in the Critical Risk category must be the primary focus o</w:t>
            </w:r>
            <w:r w:rsidR="009C4D7D">
              <w:rPr>
                <w:sz w:val="17"/>
                <w:szCs w:val="17"/>
              </w:rPr>
              <w:t>f the recovery team.</w:t>
            </w:r>
          </w:p>
        </w:tc>
        <w:tc>
          <w:tcPr>
            <w:tcW w:w="2127"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tcPr>
          <w:p w:rsidR="00A478A0" w:rsidRDefault="00E9042B">
            <w:pPr>
              <w:spacing w:before="60" w:after="60"/>
              <w:jc w:val="center"/>
            </w:pPr>
            <w:r>
              <w:rPr>
                <w:b/>
                <w:bCs/>
                <w:color w:val="C0392B"/>
                <w:sz w:val="18"/>
                <w:szCs w:val="18"/>
              </w:rPr>
              <w:t>CRITICAL</w:t>
            </w:r>
          </w:p>
        </w:tc>
      </w:tr>
      <w:tr w:rsidR="00A478A0" w:rsidTr="009C4D7D">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8B3A00"/>
                <w:sz w:val="18"/>
                <w:szCs w:val="18"/>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color w:val="8B3A00"/>
                <w:sz w:val="18"/>
                <w:szCs w:val="18"/>
              </w:rPr>
              <w:t>Establish a Minimum Collateral Coverage Policy for New Lending</w:t>
            </w:r>
          </w:p>
        </w:tc>
        <w:tc>
          <w:tcPr>
            <w:tcW w:w="5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rsidP="009C4D7D">
            <w:pPr>
              <w:spacing w:before="60" w:after="60"/>
              <w:jc w:val="left"/>
            </w:pPr>
            <w:r>
              <w:rPr>
                <w:sz w:val="17"/>
                <w:szCs w:val="17"/>
              </w:rPr>
              <w:t>A formal policy requiring a minimum collateral coverage ratio of 1.0x for all new loan approvals above a defined threshold should be implemented immediately. This will eliminate the risk of new unsecured NPL e</w:t>
            </w:r>
            <w:r w:rsidR="009C4D7D">
              <w:rPr>
                <w:sz w:val="17"/>
                <w:szCs w:val="17"/>
              </w:rPr>
              <w:t>xposure entering the portfolio.</w:t>
            </w:r>
          </w:p>
        </w:tc>
        <w:tc>
          <w:tcPr>
            <w:tcW w:w="2127" w:type="dxa"/>
            <w:tcBorders>
              <w:top w:val="single" w:sz="1" w:space="0" w:color="CCCCCC"/>
              <w:left w:val="single" w:sz="1" w:space="0" w:color="CCCCCC"/>
              <w:bottom w:val="single" w:sz="1" w:space="0" w:color="CCCCCC"/>
              <w:right w:val="single" w:sz="1" w:space="0" w:color="CCCCCC"/>
            </w:tcBorders>
            <w:shd w:val="clear" w:color="auto" w:fill="F5EBE0"/>
            <w:tcMar>
              <w:top w:w="80" w:type="dxa"/>
              <w:left w:w="120" w:type="dxa"/>
              <w:bottom w:w="80" w:type="dxa"/>
              <w:right w:w="120" w:type="dxa"/>
            </w:tcMar>
          </w:tcPr>
          <w:p w:rsidR="00A478A0" w:rsidRDefault="00E9042B">
            <w:pPr>
              <w:spacing w:before="60" w:after="60"/>
              <w:jc w:val="center"/>
            </w:pPr>
            <w:r>
              <w:rPr>
                <w:b/>
                <w:bCs/>
                <w:color w:val="8B3A00"/>
                <w:sz w:val="18"/>
                <w:szCs w:val="18"/>
              </w:rPr>
              <w:t>HIGH</w:t>
            </w:r>
          </w:p>
        </w:tc>
      </w:tr>
      <w:tr w:rsidR="00A478A0" w:rsidTr="009C4D7D">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8B3A00"/>
                <w:sz w:val="18"/>
                <w:szCs w:val="18"/>
              </w:rPr>
              <w:t>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color w:val="8B3A00"/>
                <w:sz w:val="18"/>
                <w:szCs w:val="18"/>
              </w:rPr>
              <w:t>Activate Early Intervention for Watch and Substandard Accounts</w:t>
            </w:r>
          </w:p>
        </w:tc>
        <w:tc>
          <w:tcPr>
            <w:tcW w:w="5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rsidP="00023769">
            <w:pPr>
              <w:spacing w:before="60" w:after="60"/>
              <w:jc w:val="left"/>
            </w:pPr>
            <w:r>
              <w:rPr>
                <w:sz w:val="17"/>
                <w:szCs w:val="17"/>
              </w:rPr>
              <w:t xml:space="preserve">A </w:t>
            </w:r>
            <w:r w:rsidR="00023769">
              <w:rPr>
                <w:sz w:val="17"/>
                <w:szCs w:val="17"/>
              </w:rPr>
              <w:t>strategized intervention program</w:t>
            </w:r>
            <w:r>
              <w:rPr>
                <w:sz w:val="17"/>
                <w:szCs w:val="17"/>
              </w:rPr>
              <w:t xml:space="preserve"> should be established for all Watch and Substandard accounts to prevent further migration into NPL grades. Interest rate reductions and tenor extensions should be offered to borrowers who can provide a credible repayment p</w:t>
            </w:r>
            <w:r w:rsidR="00023769">
              <w:rPr>
                <w:sz w:val="17"/>
                <w:szCs w:val="17"/>
              </w:rPr>
              <w:t>lan, supported by documentation.</w:t>
            </w:r>
          </w:p>
        </w:tc>
        <w:tc>
          <w:tcPr>
            <w:tcW w:w="2127" w:type="dxa"/>
            <w:tcBorders>
              <w:top w:val="single" w:sz="1" w:space="0" w:color="CCCCCC"/>
              <w:left w:val="single" w:sz="1" w:space="0" w:color="CCCCCC"/>
              <w:bottom w:val="single" w:sz="1" w:space="0" w:color="CCCCCC"/>
              <w:right w:val="single" w:sz="1" w:space="0" w:color="CCCCCC"/>
            </w:tcBorders>
            <w:shd w:val="clear" w:color="auto" w:fill="F5EBE0"/>
            <w:tcMar>
              <w:top w:w="80" w:type="dxa"/>
              <w:left w:w="120" w:type="dxa"/>
              <w:bottom w:w="80" w:type="dxa"/>
              <w:right w:w="120" w:type="dxa"/>
            </w:tcMar>
          </w:tcPr>
          <w:p w:rsidR="00A478A0" w:rsidRDefault="00E9042B">
            <w:pPr>
              <w:spacing w:before="60" w:after="60"/>
              <w:jc w:val="center"/>
            </w:pPr>
            <w:r>
              <w:rPr>
                <w:b/>
                <w:bCs/>
                <w:color w:val="8B3A00"/>
                <w:sz w:val="18"/>
                <w:szCs w:val="18"/>
              </w:rPr>
              <w:t>HIGH</w:t>
            </w:r>
          </w:p>
        </w:tc>
      </w:tr>
      <w:tr w:rsidR="00A478A0" w:rsidTr="009C4D7D">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4A6741"/>
                <w:sz w:val="18"/>
                <w:szCs w:val="18"/>
              </w:rPr>
              <w:t>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rsidP="00F1759D">
            <w:pPr>
              <w:spacing w:before="60" w:after="60"/>
              <w:jc w:val="left"/>
            </w:pPr>
            <w:r>
              <w:rPr>
                <w:b/>
                <w:bCs/>
                <w:color w:val="4A6741"/>
                <w:sz w:val="18"/>
                <w:szCs w:val="18"/>
              </w:rPr>
              <w:t xml:space="preserve">Assign Dedicated Risk Officers to </w:t>
            </w:r>
            <w:r w:rsidR="00F1759D">
              <w:rPr>
                <w:b/>
                <w:bCs/>
                <w:color w:val="4A6741"/>
                <w:sz w:val="18"/>
                <w:szCs w:val="18"/>
              </w:rPr>
              <w:t>All Branches</w:t>
            </w:r>
          </w:p>
        </w:tc>
        <w:tc>
          <w:tcPr>
            <w:tcW w:w="5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rsidP="00F1759D">
            <w:pPr>
              <w:spacing w:before="60" w:after="60"/>
              <w:jc w:val="left"/>
            </w:pPr>
            <w:r>
              <w:rPr>
                <w:sz w:val="17"/>
                <w:szCs w:val="17"/>
              </w:rPr>
              <w:t>G</w:t>
            </w:r>
            <w:r w:rsidR="00F1759D">
              <w:rPr>
                <w:sz w:val="17"/>
                <w:szCs w:val="17"/>
              </w:rPr>
              <w:t>iven their combined share of Doubtful and Loss loans between 8.97% - 11.63%, all</w:t>
            </w:r>
            <w:r>
              <w:rPr>
                <w:sz w:val="17"/>
                <w:szCs w:val="17"/>
              </w:rPr>
              <w:t xml:space="preserve"> branches require dedicated Risk Officers and monthly NPL reduction scorec</w:t>
            </w:r>
            <w:r w:rsidR="00F1759D">
              <w:rPr>
                <w:sz w:val="17"/>
                <w:szCs w:val="17"/>
              </w:rPr>
              <w:t>ards reported directly to EXCO.</w:t>
            </w:r>
          </w:p>
        </w:tc>
        <w:tc>
          <w:tcPr>
            <w:tcW w:w="2127"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tcPr>
          <w:p w:rsidR="00A478A0" w:rsidRDefault="00E9042B">
            <w:pPr>
              <w:spacing w:before="60" w:after="60"/>
              <w:jc w:val="center"/>
            </w:pPr>
            <w:r>
              <w:rPr>
                <w:b/>
                <w:bCs/>
                <w:color w:val="4A6741"/>
                <w:sz w:val="18"/>
                <w:szCs w:val="18"/>
              </w:rPr>
              <w:t>MEDIUM</w:t>
            </w:r>
          </w:p>
        </w:tc>
      </w:tr>
      <w:tr w:rsidR="00A478A0" w:rsidTr="009C4D7D">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center"/>
            </w:pPr>
            <w:r>
              <w:rPr>
                <w:b/>
                <w:bCs/>
                <w:color w:val="4A6741"/>
                <w:sz w:val="18"/>
                <w:szCs w:val="18"/>
              </w:rPr>
              <w:t>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b/>
                <w:bCs/>
                <w:color w:val="4A6741"/>
                <w:sz w:val="18"/>
                <w:szCs w:val="18"/>
              </w:rPr>
              <w:t xml:space="preserve">Commission an Underwriting </w:t>
            </w:r>
            <w:r w:rsidR="00267ED2">
              <w:rPr>
                <w:b/>
                <w:bCs/>
                <w:color w:val="4A6741"/>
                <w:sz w:val="18"/>
                <w:szCs w:val="18"/>
              </w:rPr>
              <w:t>Standards Review for 2024 Loans</w:t>
            </w:r>
          </w:p>
        </w:tc>
        <w:tc>
          <w:tcPr>
            <w:tcW w:w="592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478A0" w:rsidRDefault="00E9042B">
            <w:pPr>
              <w:spacing w:before="60" w:after="60"/>
              <w:jc w:val="left"/>
            </w:pPr>
            <w:r>
              <w:rPr>
                <w:sz w:val="17"/>
                <w:szCs w:val="17"/>
              </w:rPr>
              <w:t>An independent review of loan approval decisions mad</w:t>
            </w:r>
            <w:r w:rsidR="00F4670C">
              <w:rPr>
                <w:sz w:val="17"/>
                <w:szCs w:val="17"/>
              </w:rPr>
              <w:t>e in 2024 should be a</w:t>
            </w:r>
            <w:r w:rsidR="00642EC7">
              <w:rPr>
                <w:sz w:val="17"/>
                <w:szCs w:val="17"/>
              </w:rPr>
              <w:t>uthorized</w:t>
            </w:r>
            <w:r>
              <w:rPr>
                <w:sz w:val="17"/>
                <w:szCs w:val="17"/>
              </w:rPr>
              <w:t xml:space="preserve"> to identify whether eligibility criteria and collateral perfection standards were consistently applied. New lending in high-risk sectors should be paused pending the review outcome.</w:t>
            </w:r>
          </w:p>
        </w:tc>
        <w:tc>
          <w:tcPr>
            <w:tcW w:w="2127" w:type="dxa"/>
            <w:tcBorders>
              <w:top w:val="single" w:sz="1" w:space="0" w:color="CCCCCC"/>
              <w:left w:val="single" w:sz="1" w:space="0" w:color="CCCCCC"/>
              <w:bottom w:val="single" w:sz="1" w:space="0" w:color="CCCCCC"/>
              <w:right w:val="single" w:sz="1" w:space="0" w:color="CCCCCC"/>
            </w:tcBorders>
            <w:shd w:val="clear" w:color="auto" w:fill="EDF7ED"/>
            <w:tcMar>
              <w:top w:w="80" w:type="dxa"/>
              <w:left w:w="120" w:type="dxa"/>
              <w:bottom w:w="80" w:type="dxa"/>
              <w:right w:w="120" w:type="dxa"/>
            </w:tcMar>
          </w:tcPr>
          <w:p w:rsidR="00A478A0" w:rsidRDefault="00E9042B">
            <w:pPr>
              <w:spacing w:before="60" w:after="60"/>
              <w:jc w:val="center"/>
            </w:pPr>
            <w:r>
              <w:rPr>
                <w:b/>
                <w:bCs/>
                <w:color w:val="4A6741"/>
                <w:sz w:val="18"/>
                <w:szCs w:val="18"/>
              </w:rPr>
              <w:t>MEDIUM</w:t>
            </w:r>
          </w:p>
        </w:tc>
      </w:tr>
    </w:tbl>
    <w:p w:rsidR="00A478A0" w:rsidRDefault="00E9042B">
      <w:r>
        <w:br w:type="page"/>
      </w:r>
    </w:p>
    <w:p w:rsidR="00A478A0" w:rsidRDefault="00E9042B">
      <w:pPr>
        <w:pStyle w:val="Heading11"/>
        <w:pBdr>
          <w:bottom w:val="single" w:sz="12" w:space="6" w:color="051C2C"/>
        </w:pBdr>
      </w:pPr>
      <w:r>
        <w:rPr>
          <w:spacing w:val="80"/>
        </w:rPr>
        <w:lastRenderedPageBreak/>
        <w:t>8. CONCLUSION</w:t>
      </w:r>
    </w:p>
    <w:p w:rsidR="00A478A0" w:rsidRDefault="00E9042B" w:rsidP="00DD2846">
      <w:pPr>
        <w:spacing w:after="120" w:line="276" w:lineRule="auto"/>
      </w:pPr>
      <w:r>
        <w:rPr>
          <w:sz w:val="20"/>
        </w:rPr>
        <w:t>This project has successfully delivered a credit monitoring and early warning system that simulates the portfolio surveillance infrastructure used by CBN-licensed financial institutions. The system spans the full analytical cycle — from raw data validation and dynamic risk classification in Excel, through to a three-page interactive Power BI dashboard suite designed for three distinct management audiences.</w:t>
      </w:r>
    </w:p>
    <w:p w:rsidR="00A478A0" w:rsidRDefault="00E9042B" w:rsidP="00DD2846">
      <w:pPr>
        <w:spacing w:after="120" w:line="276" w:lineRule="auto"/>
      </w:pPr>
      <w:r>
        <w:rPr>
          <w:sz w:val="20"/>
        </w:rPr>
        <w:t>The five recommendations set out in Section 7 provide a structured pathway from crisis management through to structural portfolio quality improvement. Most critically, recovery of Loss-grade accounts must begin immediately, and a minimum collateral coverage policy must be implemented to prevent the same structural weaknesses from recurring in new lending.</w:t>
      </w:r>
    </w:p>
    <w:p w:rsidR="00A478A0" w:rsidRDefault="00E9042B">
      <w:pPr>
        <w:spacing w:after="120" w:line="276" w:lineRule="auto"/>
      </w:pPr>
      <w:r>
        <w:rPr>
          <w:sz w:val="20"/>
        </w:rPr>
        <w:t>The core lesson this project reinforces is one that applies equally to real institutions: the value of an early warning system is not in i</w:t>
      </w:r>
      <w:bookmarkStart w:id="0" w:name="_GoBack"/>
      <w:bookmarkEnd w:id="0"/>
      <w:r>
        <w:rPr>
          <w:sz w:val="20"/>
        </w:rPr>
        <w:t>dentifying loans that have already become Loss. By that point, the damage is done. The value lies in catching deterioration at t</w:t>
      </w:r>
      <w:r w:rsidR="00DD2846">
        <w:rPr>
          <w:sz w:val="20"/>
        </w:rPr>
        <w:t>he Watch and Substandard stage;</w:t>
      </w:r>
      <w:r>
        <w:rPr>
          <w:sz w:val="20"/>
        </w:rPr>
        <w:t xml:space="preserve"> where a timely phone call, a restructuring agreement, or a collateral top-up can still change the outcome. That is the window this system was built to protect.</w:t>
      </w:r>
    </w:p>
    <w:p w:rsidR="00A478A0" w:rsidRDefault="00A478A0"/>
    <w:p w:rsidR="00A478A0" w:rsidRDefault="00A478A0">
      <w:pPr>
        <w:pBdr>
          <w:bottom w:val="single" w:sz="4" w:space="1" w:color="E0E0E0"/>
        </w:pBdr>
        <w:spacing w:before="120" w:after="120"/>
      </w:pPr>
    </w:p>
    <w:p w:rsidR="00A478A0" w:rsidRDefault="00A478A0"/>
    <w:p w:rsidR="00A478A0" w:rsidRDefault="00A478A0">
      <w:pPr>
        <w:pStyle w:val="Heading21"/>
      </w:pPr>
    </w:p>
    <w:p w:rsidR="00A478A0" w:rsidRDefault="00A478A0"/>
    <w:p w:rsidR="00A478A0" w:rsidRDefault="00E9042B">
      <w:pPr>
        <w:spacing w:before="120" w:after="60"/>
        <w:jc w:val="center"/>
      </w:pPr>
      <w:r>
        <w:rPr>
          <w:i/>
          <w:iCs/>
          <w:color w:val="767676"/>
          <w:sz w:val="18"/>
          <w:szCs w:val="18"/>
        </w:rPr>
        <w:t>— End of Report —</w:t>
      </w:r>
    </w:p>
    <w:p w:rsidR="00A478A0" w:rsidRDefault="00E9042B">
      <w:pPr>
        <w:spacing w:before="40" w:after="40"/>
        <w:jc w:val="center"/>
      </w:pPr>
      <w:r>
        <w:rPr>
          <w:color w:val="767676"/>
          <w:sz w:val="16"/>
          <w:szCs w:val="16"/>
        </w:rPr>
        <w:t xml:space="preserve">Ismail </w:t>
      </w:r>
      <w:proofErr w:type="spellStart"/>
      <w:proofErr w:type="gramStart"/>
      <w:r>
        <w:rPr>
          <w:color w:val="767676"/>
          <w:sz w:val="16"/>
          <w:szCs w:val="16"/>
        </w:rPr>
        <w:t>Olayinka</w:t>
      </w:r>
      <w:proofErr w:type="spellEnd"/>
      <w:r>
        <w:rPr>
          <w:color w:val="767676"/>
          <w:sz w:val="16"/>
          <w:szCs w:val="16"/>
        </w:rPr>
        <w:t xml:space="preserve">  •</w:t>
      </w:r>
      <w:proofErr w:type="gramEnd"/>
      <w:r>
        <w:rPr>
          <w:color w:val="767676"/>
          <w:sz w:val="16"/>
          <w:szCs w:val="16"/>
        </w:rPr>
        <w:t xml:space="preserve">  </w:t>
      </w:r>
      <w:proofErr w:type="spellStart"/>
      <w:r>
        <w:rPr>
          <w:color w:val="767676"/>
          <w:sz w:val="16"/>
          <w:szCs w:val="16"/>
        </w:rPr>
        <w:t>SafeLoan</w:t>
      </w:r>
      <w:proofErr w:type="spellEnd"/>
      <w:r>
        <w:rPr>
          <w:color w:val="767676"/>
          <w:sz w:val="16"/>
          <w:szCs w:val="16"/>
        </w:rPr>
        <w:t xml:space="preserve"> Risk Monitor  •  March 2026</w:t>
      </w:r>
    </w:p>
    <w:sectPr w:rsidR="00A478A0" w:rsidSect="00A65D39">
      <w:type w:val="continuous"/>
      <w:pgSz w:w="12240" w:h="15840"/>
      <w:pgMar w:top="851" w:right="851" w:bottom="851"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52A4" w:rsidRDefault="008A52A4">
      <w:r>
        <w:separator/>
      </w:r>
    </w:p>
  </w:endnote>
  <w:endnote w:type="continuationSeparator" w:id="0">
    <w:p w:rsidR="008A52A4" w:rsidRDefault="008A5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042B" w:rsidRDefault="00E9042B">
    <w:pPr>
      <w:pBdr>
        <w:top w:val="single" w:sz="4" w:space="4" w:color="E0E0E0"/>
      </w:pBdr>
    </w:pPr>
  </w:p>
  <w:p w:rsidR="00E9042B" w:rsidRDefault="00E9042B">
    <w:pPr>
      <w:tabs>
        <w:tab w:val="center" w:pos="4680"/>
        <w:tab w:val="right" w:pos="9360"/>
      </w:tabs>
      <w:spacing w:before="60"/>
    </w:pPr>
    <w:r>
      <w:rPr>
        <w:color w:val="767676"/>
        <w:sz w:val="16"/>
        <w:szCs w:val="16"/>
      </w:rPr>
      <w:t xml:space="preserve">Prepared by Ismail </w:t>
    </w:r>
    <w:proofErr w:type="spellStart"/>
    <w:r>
      <w:rPr>
        <w:color w:val="767676"/>
        <w:sz w:val="16"/>
        <w:szCs w:val="16"/>
      </w:rPr>
      <w:t>Olayinka</w:t>
    </w:r>
    <w:proofErr w:type="spellEnd"/>
    <w:r>
      <w:rPr>
        <w:sz w:val="16"/>
        <w:szCs w:val="16"/>
      </w:rPr>
      <w:tab/>
    </w:r>
    <w:r>
      <w:rPr>
        <w:color w:val="767676"/>
        <w:sz w:val="16"/>
        <w:szCs w:val="16"/>
      </w:rPr>
      <w:t xml:space="preserve">Loan Monitoring </w:t>
    </w:r>
    <w:proofErr w:type="gramStart"/>
    <w:r>
      <w:rPr>
        <w:color w:val="767676"/>
        <w:sz w:val="16"/>
        <w:szCs w:val="16"/>
      </w:rPr>
      <w:t>Performance  •</w:t>
    </w:r>
    <w:proofErr w:type="gramEnd"/>
    <w:r>
      <w:rPr>
        <w:color w:val="767676"/>
        <w:sz w:val="16"/>
        <w:szCs w:val="16"/>
      </w:rPr>
      <w:t xml:space="preserve">  2026</w:t>
    </w:r>
    <w:r>
      <w:rPr>
        <w:sz w:val="16"/>
        <w:szCs w:val="16"/>
      </w:rPr>
      <w:tab/>
    </w:r>
    <w:r>
      <w:rPr>
        <w:color w:val="767676"/>
        <w:sz w:val="16"/>
        <w:szCs w:val="16"/>
      </w:rPr>
      <w:t xml:space="preserve">Page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52A4" w:rsidRDefault="008A52A4">
      <w:r>
        <w:separator/>
      </w:r>
    </w:p>
  </w:footnote>
  <w:footnote w:type="continuationSeparator" w:id="0">
    <w:p w:rsidR="008A52A4" w:rsidRDefault="008A52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540"/>
    </w:tblGrid>
    <w:tr w:rsidR="00E9042B">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E9042B" w:rsidRDefault="00E9042B">
          <w:pPr>
            <w:spacing w:before="40" w:after="40"/>
          </w:pPr>
          <w:proofErr w:type="spellStart"/>
          <w:r>
            <w:rPr>
              <w:b/>
              <w:bCs/>
              <w:color w:val="051C2C"/>
              <w:sz w:val="18"/>
              <w:szCs w:val="18"/>
            </w:rPr>
            <w:t>SafeLoan</w:t>
          </w:r>
          <w:proofErr w:type="spellEnd"/>
          <w:r>
            <w:rPr>
              <w:b/>
              <w:bCs/>
              <w:color w:val="051C2C"/>
              <w:sz w:val="18"/>
              <w:szCs w:val="18"/>
            </w:rPr>
            <w:t xml:space="preserve"> Risk Monitor</w:t>
          </w:r>
          <w:r>
            <w:rPr>
              <w:color w:val="767676"/>
              <w:sz w:val="18"/>
              <w:szCs w:val="18"/>
            </w:rPr>
            <w:t xml:space="preserve">  |  Loan Monitoring Performance Report</w:t>
          </w:r>
        </w:p>
      </w:tc>
      <w:tc>
        <w:tcPr>
          <w:tcW w:w="454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E9042B" w:rsidRDefault="00E9042B">
          <w:pPr>
            <w:spacing w:before="40" w:after="40"/>
            <w:jc w:val="right"/>
          </w:pPr>
          <w:r>
            <w:rPr>
              <w:color w:val="767676"/>
              <w:sz w:val="16"/>
              <w:szCs w:val="16"/>
            </w:rPr>
            <w:t>CONFIDENTIAL  |  March 2026</w:t>
          </w:r>
        </w:p>
      </w:tc>
    </w:tr>
  </w:tbl>
  <w:p w:rsidR="00E9042B" w:rsidRDefault="00E9042B">
    <w:pPr>
      <w:pBdr>
        <w:bottom w:val="single" w:sz="8" w:space="1" w:color="051C2C"/>
      </w:pBdr>
      <w:spacing w:before="2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FFFFFFFF"/>
    <w:lvl w:ilvl="0" w:tplc="A56EEEB4" w:tentative="1">
      <w:start w:val="1"/>
      <w:numFmt w:val="bullet"/>
      <w:lvlText w:val="●"/>
      <w:lvlJc w:val="left"/>
      <w:pPr>
        <w:ind w:left="720" w:hanging="360"/>
      </w:pPr>
    </w:lvl>
    <w:lvl w:ilvl="1" w:tplc="1EAAE66E" w:tentative="1">
      <w:start w:val="1"/>
      <w:numFmt w:val="bullet"/>
      <w:lvlText w:val="○"/>
      <w:lvlJc w:val="left"/>
      <w:pPr>
        <w:ind w:left="1440" w:hanging="360"/>
      </w:pPr>
    </w:lvl>
    <w:lvl w:ilvl="2" w:tplc="B2363956" w:tentative="1">
      <w:start w:val="1"/>
      <w:numFmt w:val="bullet"/>
      <w:lvlText w:val="■"/>
      <w:lvlJc w:val="left"/>
      <w:pPr>
        <w:ind w:left="2160" w:hanging="360"/>
      </w:pPr>
    </w:lvl>
    <w:lvl w:ilvl="3" w:tplc="E11EC2FE" w:tentative="1">
      <w:start w:val="1"/>
      <w:numFmt w:val="bullet"/>
      <w:lvlText w:val="●"/>
      <w:lvlJc w:val="left"/>
      <w:pPr>
        <w:ind w:left="2880" w:hanging="360"/>
      </w:pPr>
    </w:lvl>
    <w:lvl w:ilvl="4" w:tplc="27DEFD52" w:tentative="1">
      <w:start w:val="1"/>
      <w:numFmt w:val="bullet"/>
      <w:lvlText w:val="○"/>
      <w:lvlJc w:val="left"/>
      <w:pPr>
        <w:ind w:left="3600" w:hanging="360"/>
      </w:pPr>
    </w:lvl>
    <w:lvl w:ilvl="5" w:tplc="BFCC92E0" w:tentative="1">
      <w:start w:val="1"/>
      <w:numFmt w:val="bullet"/>
      <w:lvlText w:val="■"/>
      <w:lvlJc w:val="left"/>
      <w:pPr>
        <w:ind w:left="4320" w:hanging="360"/>
      </w:pPr>
    </w:lvl>
    <w:lvl w:ilvl="6" w:tplc="0F8E3C36" w:tentative="1">
      <w:start w:val="1"/>
      <w:numFmt w:val="bullet"/>
      <w:lvlText w:val="●"/>
      <w:lvlJc w:val="left"/>
      <w:pPr>
        <w:ind w:left="5040" w:hanging="360"/>
      </w:pPr>
    </w:lvl>
    <w:lvl w:ilvl="7" w:tplc="5590EA4E" w:tentative="1">
      <w:start w:val="1"/>
      <w:numFmt w:val="bullet"/>
      <w:lvlText w:val="●"/>
      <w:lvlJc w:val="left"/>
      <w:pPr>
        <w:ind w:left="5760" w:hanging="360"/>
      </w:pPr>
    </w:lvl>
    <w:lvl w:ilvl="8" w:tplc="5798B32A" w:tentative="1">
      <w:start w:val="1"/>
      <w:numFmt w:val="bullet"/>
      <w:lvlText w:val="●"/>
      <w:lvlJc w:val="left"/>
      <w:pPr>
        <w:ind w:left="6480" w:hanging="360"/>
      </w:pPr>
    </w:lvl>
  </w:abstractNum>
  <w:abstractNum w:abstractNumId="1" w15:restartNumberingAfterBreak="0">
    <w:nsid w:val="00000001"/>
    <w:multiLevelType w:val="hybridMultilevel"/>
    <w:tmpl w:val="FFFFFFFF"/>
    <w:lvl w:ilvl="0" w:tplc="2B5A863E">
      <w:start w:val="1"/>
      <w:numFmt w:val="bullet"/>
      <w:lvlText w:val="—"/>
      <w:lvlJc w:val="left"/>
      <w:pPr>
        <w:ind w:left="720" w:hanging="360"/>
      </w:pPr>
      <w:rPr>
        <w:rFonts w:ascii="Calibri" w:eastAsia="Calibri" w:hAnsi="Calibri" w:cs="Calibri"/>
        <w:b/>
        <w:bCs/>
        <w:color w:val="8B3A00"/>
      </w:rPr>
    </w:lvl>
    <w:lvl w:ilvl="1" w:tplc="8D20A4A0" w:tentative="1">
      <w:start w:val="1"/>
      <w:numFmt w:val="bullet"/>
      <w:lvlText w:val="▪"/>
      <w:lvlJc w:val="left"/>
      <w:pPr>
        <w:ind w:left="1080" w:hanging="360"/>
      </w:pPr>
      <w:rPr>
        <w:rFonts w:ascii="Calibri" w:eastAsia="Calibri" w:hAnsi="Calibri" w:cs="Calibri"/>
        <w:color w:val="767676"/>
      </w:rPr>
    </w:lvl>
    <w:lvl w:ilvl="2" w:tplc="FB2A376A">
      <w:numFmt w:val="decimal"/>
      <w:lvlText w:val=""/>
      <w:lvlJc w:val="left"/>
    </w:lvl>
    <w:lvl w:ilvl="3" w:tplc="26D65ADA">
      <w:numFmt w:val="decimal"/>
      <w:lvlText w:val=""/>
      <w:lvlJc w:val="left"/>
    </w:lvl>
    <w:lvl w:ilvl="4" w:tplc="D742A790">
      <w:numFmt w:val="decimal"/>
      <w:lvlText w:val=""/>
      <w:lvlJc w:val="left"/>
    </w:lvl>
    <w:lvl w:ilvl="5" w:tplc="B6F0AD5C">
      <w:numFmt w:val="decimal"/>
      <w:lvlText w:val=""/>
      <w:lvlJc w:val="left"/>
    </w:lvl>
    <w:lvl w:ilvl="6" w:tplc="4A5C4204">
      <w:numFmt w:val="decimal"/>
      <w:lvlText w:val=""/>
      <w:lvlJc w:val="left"/>
    </w:lvl>
    <w:lvl w:ilvl="7" w:tplc="005C4B3A">
      <w:numFmt w:val="decimal"/>
      <w:lvlText w:val=""/>
      <w:lvlJc w:val="left"/>
    </w:lvl>
    <w:lvl w:ilvl="8" w:tplc="50926B5E">
      <w:numFmt w:val="decimal"/>
      <w:lvlText w:val=""/>
      <w:lvlJc w:val="left"/>
    </w:lvl>
  </w:abstractNum>
  <w:abstractNum w:abstractNumId="2" w15:restartNumberingAfterBreak="0">
    <w:nsid w:val="00000002"/>
    <w:multiLevelType w:val="hybridMultilevel"/>
    <w:tmpl w:val="FFFFFFFF"/>
    <w:lvl w:ilvl="0" w:tplc="FEFA4F0C" w:tentative="1">
      <w:start w:val="1"/>
      <w:numFmt w:val="decimal"/>
      <w:lvlText w:val="%1."/>
      <w:lvlJc w:val="left"/>
      <w:pPr>
        <w:ind w:left="720" w:hanging="360"/>
      </w:pPr>
      <w:rPr>
        <w:rFonts w:ascii="Calibri" w:eastAsia="Calibri" w:hAnsi="Calibri" w:cs="Calibri"/>
        <w:b/>
        <w:bCs/>
        <w:color w:val="051C2C"/>
      </w:rPr>
    </w:lvl>
    <w:lvl w:ilvl="1" w:tplc="0F78F36C">
      <w:numFmt w:val="decimal"/>
      <w:lvlText w:val=""/>
      <w:lvlJc w:val="left"/>
    </w:lvl>
    <w:lvl w:ilvl="2" w:tplc="048A9D30">
      <w:numFmt w:val="decimal"/>
      <w:lvlText w:val=""/>
      <w:lvlJc w:val="left"/>
    </w:lvl>
    <w:lvl w:ilvl="3" w:tplc="AFD058C2">
      <w:numFmt w:val="decimal"/>
      <w:lvlText w:val=""/>
      <w:lvlJc w:val="left"/>
    </w:lvl>
    <w:lvl w:ilvl="4" w:tplc="8C865314">
      <w:numFmt w:val="decimal"/>
      <w:lvlText w:val=""/>
      <w:lvlJc w:val="left"/>
    </w:lvl>
    <w:lvl w:ilvl="5" w:tplc="801AFE8A">
      <w:numFmt w:val="decimal"/>
      <w:lvlText w:val=""/>
      <w:lvlJc w:val="left"/>
    </w:lvl>
    <w:lvl w:ilvl="6" w:tplc="AB5ECADA">
      <w:numFmt w:val="decimal"/>
      <w:lvlText w:val=""/>
      <w:lvlJc w:val="left"/>
    </w:lvl>
    <w:lvl w:ilvl="7" w:tplc="A21C79EA">
      <w:numFmt w:val="decimal"/>
      <w:lvlText w:val=""/>
      <w:lvlJc w:val="left"/>
    </w:lvl>
    <w:lvl w:ilvl="8" w:tplc="66D6AB3A">
      <w:numFmt w:val="decimal"/>
      <w:lvlText w:val=""/>
      <w:lvlJc w:val="left"/>
    </w:lvl>
  </w:abstractNum>
  <w:abstractNum w:abstractNumId="3" w15:restartNumberingAfterBreak="0">
    <w:nsid w:val="361326A4"/>
    <w:multiLevelType w:val="hybridMultilevel"/>
    <w:tmpl w:val="5A225B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num>
  <w:num w:numId="2">
    <w:abstractNumId w:val="0"/>
    <w:lvlOverride w:ilvl="0">
      <w:startOverride w:val="1"/>
    </w:lvlOverride>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8A0"/>
    <w:rsid w:val="000126B9"/>
    <w:rsid w:val="00023769"/>
    <w:rsid w:val="000F37F6"/>
    <w:rsid w:val="00266072"/>
    <w:rsid w:val="00267ED2"/>
    <w:rsid w:val="002A6556"/>
    <w:rsid w:val="00392CDC"/>
    <w:rsid w:val="00440623"/>
    <w:rsid w:val="005825A7"/>
    <w:rsid w:val="00611B57"/>
    <w:rsid w:val="00642EC7"/>
    <w:rsid w:val="00671C6A"/>
    <w:rsid w:val="007039BB"/>
    <w:rsid w:val="007968C2"/>
    <w:rsid w:val="008A52A4"/>
    <w:rsid w:val="008B05BE"/>
    <w:rsid w:val="009C4D7D"/>
    <w:rsid w:val="00A478A0"/>
    <w:rsid w:val="00A65D39"/>
    <w:rsid w:val="00AE1A97"/>
    <w:rsid w:val="00AF2FC1"/>
    <w:rsid w:val="00B17308"/>
    <w:rsid w:val="00CB79BF"/>
    <w:rsid w:val="00D36469"/>
    <w:rsid w:val="00DD2846"/>
    <w:rsid w:val="00DF09B2"/>
    <w:rsid w:val="00E475EB"/>
    <w:rsid w:val="00E76007"/>
    <w:rsid w:val="00E9042B"/>
    <w:rsid w:val="00F1759D"/>
    <w:rsid w:val="00F35D35"/>
    <w:rsid w:val="00F4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032F9"/>
  <w15:docId w15:val="{4E0DDBDA-7388-44A5-A4D8-95ADA6C4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4A4A4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Heading11">
    <w:name w:val="Heading 11"/>
    <w:qFormat/>
    <w:pPr>
      <w:spacing w:before="360" w:after="120"/>
      <w:outlineLvl w:val="0"/>
    </w:pPr>
    <w:rPr>
      <w:b/>
      <w:bCs/>
      <w:color w:val="051C2C"/>
      <w:sz w:val="28"/>
      <w:szCs w:val="28"/>
    </w:rPr>
  </w:style>
  <w:style w:type="paragraph" w:customStyle="1" w:styleId="Heading21">
    <w:name w:val="Heading 21"/>
    <w:qFormat/>
    <w:pPr>
      <w:spacing w:before="240" w:after="80"/>
      <w:outlineLvl w:val="1"/>
    </w:pPr>
    <w:rPr>
      <w:b/>
      <w:bCs/>
      <w:color w:val="051C2C"/>
      <w:sz w:val="22"/>
      <w:szCs w:val="22"/>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5b11f4b0-4989-436c-90be-5a5ce8e4d6eb">
    <w:name w:val="Strong_5b11f4b0-4989-436c-90be-5a5ce8e4d6eb"/>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paragraph" w:styleId="Header">
    <w:name w:val="header"/>
    <w:basedOn w:val="Normal"/>
    <w:link w:val="HeaderChar"/>
    <w:uiPriority w:val="99"/>
    <w:unhideWhenUsed/>
    <w:rsid w:val="00D36469"/>
    <w:pPr>
      <w:tabs>
        <w:tab w:val="center" w:pos="4680"/>
        <w:tab w:val="right" w:pos="9360"/>
      </w:tabs>
    </w:pPr>
  </w:style>
  <w:style w:type="character" w:customStyle="1" w:styleId="HeaderChar">
    <w:name w:val="Header Char"/>
    <w:basedOn w:val="DefaultParagraphFont"/>
    <w:link w:val="Header"/>
    <w:uiPriority w:val="99"/>
    <w:rsid w:val="00D36469"/>
    <w:rPr>
      <w:sz w:val="21"/>
    </w:rPr>
  </w:style>
  <w:style w:type="paragraph" w:styleId="Footer">
    <w:name w:val="footer"/>
    <w:basedOn w:val="Normal"/>
    <w:link w:val="FooterChar"/>
    <w:uiPriority w:val="99"/>
    <w:unhideWhenUsed/>
    <w:rsid w:val="00D36469"/>
    <w:pPr>
      <w:tabs>
        <w:tab w:val="center" w:pos="4680"/>
        <w:tab w:val="right" w:pos="9360"/>
      </w:tabs>
    </w:pPr>
  </w:style>
  <w:style w:type="character" w:customStyle="1" w:styleId="FooterChar">
    <w:name w:val="Footer Char"/>
    <w:basedOn w:val="DefaultParagraphFont"/>
    <w:link w:val="Footer"/>
    <w:uiPriority w:val="99"/>
    <w:rsid w:val="00D36469"/>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11</Pages>
  <Words>2275</Words>
  <Characters>12972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 ProBook 450 G3</cp:lastModifiedBy>
  <cp:revision>22</cp:revision>
  <dcterms:created xsi:type="dcterms:W3CDTF">2026-04-07T08:16:00Z</dcterms:created>
  <dcterms:modified xsi:type="dcterms:W3CDTF">2026-04-07T11:38:00Z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1142596bd93e45818ad6092eae49c1cf</vt:lpwstr>
  </property>
</Properties>
</file>