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80" w:lineRule="auto" w:line="276"/>
        <w:jc w:val="center"/>
        <w:rPr>
          <w:rFonts w:ascii="Calibri" w:cs="Calibri" w:hAnsi="Calibri"/>
          <w:color w:val="833c0b"/>
        </w:rPr>
      </w:pPr>
      <w:bookmarkStart w:id="0" w:name="_GoBack"/>
      <w:bookmarkEnd w:id="0"/>
      <w:r>
        <w:rPr>
          <w:rFonts w:ascii="Calibri" w:cs="Calibri" w:hAnsi="Calibri"/>
          <w:color w:val="833c0b"/>
        </w:rPr>
        <w:t>Project Summary</w:t>
      </w:r>
    </w:p>
    <w:p>
      <w:pPr>
        <w:pStyle w:val="style0"/>
        <w:spacing w:lineRule="auto" w:line="276"/>
        <w:jc w:val="center"/>
        <w:rPr>
          <w:rFonts w:ascii="Calibri" w:cs="Calibri" w:hAnsi="Calibri"/>
          <w:color w:val="833c0b"/>
        </w:rPr>
      </w:pPr>
    </w:p>
    <w:p>
      <w:pPr>
        <w:pStyle w:val="style0"/>
        <w:spacing w:after="80" w:lineRule="auto" w:line="276"/>
        <w:jc w:val="center"/>
        <w:rPr>
          <w:rFonts w:ascii="Calibri" w:cs="Calibri" w:hAnsi="Calibri"/>
          <w:color w:val="833c0b"/>
        </w:rPr>
      </w:pPr>
      <w:r>
        <w:rPr>
          <w:rFonts w:ascii="Calibri" w:cs="Calibri" w:hAnsi="Calibri"/>
          <w:color w:val="833c0b"/>
          <w:sz w:val="32"/>
          <w:szCs w:val="32"/>
        </w:rPr>
        <w:t xml:space="preserve">Title: </w:t>
      </w:r>
      <w:r>
        <w:rPr>
          <w:rFonts w:ascii="Calibri" w:cs="Calibri" w:hAnsi="Calibri"/>
          <w:color w:val="833c0b"/>
          <w:sz w:val="32"/>
          <w:szCs w:val="32"/>
        </w:rPr>
        <w:t>Loan</w:t>
      </w:r>
      <w:r>
        <w:rPr>
          <w:rFonts w:ascii="Calibri" w:cs="Calibri" w:hAnsi="Calibri"/>
          <w:color w:val="833c0b"/>
          <w:sz w:val="32"/>
          <w:szCs w:val="32"/>
        </w:rPr>
        <w:t xml:space="preserve"> Monitoring </w:t>
      </w:r>
      <w:r>
        <w:rPr>
          <w:rFonts w:ascii="Calibri" w:cs="Calibri" w:hAnsi="Calibri"/>
          <w:color w:val="833c0b"/>
          <w:sz w:val="32"/>
          <w:szCs w:val="32"/>
        </w:rPr>
        <w:t>Performance</w:t>
      </w:r>
    </w:p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p>
      <w:pPr>
        <w:pStyle w:val="style0"/>
        <w:spacing w:before="200" w:after="1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1. Project Overview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This project anal</w:t>
      </w:r>
      <w:r>
        <w:rPr>
          <w:rFonts w:ascii="Calibri" w:cs="Calibri" w:hAnsi="Calibri"/>
        </w:rPr>
        <w:t>yzes the performance of a loan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 xml:space="preserve">across 10 </w:t>
      </w:r>
      <w:r>
        <w:rPr>
          <w:rFonts w:ascii="Calibri" w:cs="Calibri" w:hAnsi="Calibri"/>
        </w:rPr>
        <w:t>branch</w:t>
      </w:r>
      <w:r>
        <w:rPr>
          <w:rFonts w:ascii="Calibri" w:cs="Calibri" w:hAnsi="Calibri"/>
        </w:rPr>
        <w:t>es of</w:t>
      </w:r>
      <w:r>
        <w:rPr>
          <w:rFonts w:ascii="Calibri" w:cs="Calibri" w:hAnsi="Calibri"/>
        </w:rPr>
        <w:t xml:space="preserve"> financial institution portfolio. The system tracks 30,000</w:t>
      </w:r>
      <w:r>
        <w:rPr>
          <w:rFonts w:ascii="Calibri" w:cs="Calibri" w:hAnsi="Calibri"/>
        </w:rPr>
        <w:t xml:space="preserve"> loan records</w:t>
      </w:r>
      <w:r>
        <w:rPr>
          <w:rFonts w:ascii="Calibri" w:cs="Calibri" w:hAnsi="Calibri"/>
        </w:rPr>
        <w:t>, monitoring:</w:t>
      </w:r>
    </w:p>
    <w:p>
      <w:pPr>
        <w:pStyle w:val="style179"/>
        <w:numPr>
          <w:ilvl w:val="0"/>
          <w:numId w:val="1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Loan performance and repayment </w:t>
      </w:r>
      <w:r>
        <w:rPr>
          <w:rFonts w:ascii="Calibri" w:cs="Calibri" w:hAnsi="Calibri"/>
        </w:rPr>
        <w:t>behaviour</w:t>
      </w:r>
    </w:p>
    <w:p>
      <w:pPr>
        <w:pStyle w:val="style179"/>
        <w:numPr>
          <w:ilvl w:val="0"/>
          <w:numId w:val="1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Risk scoring and classification of borrowers</w:t>
      </w:r>
    </w:p>
    <w:p>
      <w:pPr>
        <w:pStyle w:val="style179"/>
        <w:numPr>
          <w:ilvl w:val="0"/>
          <w:numId w:val="1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Collateral adequacy and provision computation</w:t>
      </w:r>
    </w:p>
    <w:p>
      <w:pPr>
        <w:pStyle w:val="style179"/>
        <w:numPr>
          <w:ilvl w:val="0"/>
          <w:numId w:val="1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Early warning alerts for overdue and high-risk loans</w:t>
      </w:r>
    </w:p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The objective was to:</w:t>
      </w:r>
    </w:p>
    <w:p>
      <w:pPr>
        <w:pStyle w:val="style179"/>
        <w:numPr>
          <w:ilvl w:val="0"/>
          <w:numId w:val="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Clean and transform the 30,000-record loan dataset</w:t>
      </w:r>
    </w:p>
    <w:p>
      <w:pPr>
        <w:pStyle w:val="style179"/>
        <w:numPr>
          <w:ilvl w:val="0"/>
          <w:numId w:val="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Analyze key performance indicators across branches, loan types, and risk grades</w:t>
      </w:r>
    </w:p>
    <w:p>
      <w:pPr>
        <w:pStyle w:val="style179"/>
        <w:numPr>
          <w:ilvl w:val="0"/>
          <w:numId w:val="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Build dynamic dashboards </w:t>
      </w:r>
      <w:r>
        <w:rPr>
          <w:rFonts w:ascii="Calibri" w:cs="Calibri" w:hAnsi="Calibri"/>
        </w:rPr>
        <w:t>for management decision-making</w:t>
      </w:r>
    </w:p>
    <w:p>
      <w:pPr>
        <w:pStyle w:val="style179"/>
        <w:numPr>
          <w:ilvl w:val="0"/>
          <w:numId w:val="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Generate actionable insights for portfolio recovery and program improvement</w:t>
      </w:r>
    </w:p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p>
      <w:pPr>
        <w:pStyle w:val="style0"/>
        <w:spacing w:before="200" w:after="1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2. Problem Statement</w:t>
      </w:r>
    </w:p>
    <w:p>
      <w:pPr>
        <w:pStyle w:val="style0"/>
        <w:spacing w:after="20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Credit monitoring programs often face challenges such as:</w:t>
      </w:r>
    </w:p>
    <w:p>
      <w:pPr>
        <w:pStyle w:val="style179"/>
        <w:numPr>
          <w:ilvl w:val="0"/>
          <w:numId w:val="7"/>
        </w:numPr>
        <w:spacing w:before="40" w:after="4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Classify all loans using the CBN grade framework</w:t>
      </w:r>
    </w:p>
    <w:p>
      <w:pPr>
        <w:pStyle w:val="style179"/>
        <w:numPr>
          <w:ilvl w:val="0"/>
          <w:numId w:val="7"/>
        </w:numPr>
        <w:spacing w:before="40" w:after="4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 xml:space="preserve">Assign a quantitative risk score (0–100) to each borrower based on repayment </w:t>
      </w:r>
      <w:r>
        <w:rPr>
          <w:rFonts w:ascii="Calibri" w:cs="Calibri" w:hAnsi="Calibri"/>
        </w:rPr>
        <w:t>behaviour</w:t>
      </w:r>
      <w:r>
        <w:rPr>
          <w:rFonts w:ascii="Calibri" w:cs="Calibri" w:hAnsi="Calibri"/>
        </w:rPr>
        <w:t xml:space="preserve"> and collateral adequacy</w:t>
      </w:r>
    </w:p>
    <w:p>
      <w:pPr>
        <w:pStyle w:val="style179"/>
        <w:numPr>
          <w:ilvl w:val="0"/>
          <w:numId w:val="7"/>
        </w:numPr>
        <w:spacing w:before="40" w:after="4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Identify and flag all loans meet</w:t>
      </w:r>
      <w:r>
        <w:rPr>
          <w:rFonts w:ascii="Calibri" w:cs="Calibri" w:hAnsi="Calibri"/>
        </w:rPr>
        <w:t>ing the early warning threshold</w:t>
      </w:r>
    </w:p>
    <w:p>
      <w:pPr>
        <w:pStyle w:val="style179"/>
        <w:numPr>
          <w:ilvl w:val="0"/>
          <w:numId w:val="7"/>
        </w:numPr>
        <w:spacing w:before="40" w:after="4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Build interactive dashboards enabling management to monitor portfolio health in real time</w:t>
      </w:r>
    </w:p>
    <w:p>
      <w:pPr>
        <w:pStyle w:val="style179"/>
        <w:numPr>
          <w:ilvl w:val="0"/>
          <w:numId w:val="7"/>
        </w:numPr>
        <w:spacing w:before="40" w:after="4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Evaluate collateral coverage and compute provision requirements per regulatory standards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br w:type="page"/>
      </w:r>
    </w:p>
    <w:p>
      <w:pPr>
        <w:pStyle w:val="style0"/>
        <w:spacing w:before="40" w:after="4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3. Data Description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The dataset contains 30,000 records with the following key variables:</w:t>
      </w:r>
    </w:p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772"/>
        <w:gridCol w:w="5875"/>
      </w:tblGrid>
      <w:tr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/>
                <w:bCs/>
              </w:rPr>
              <w:t>S/N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/>
                <w:bCs/>
              </w:rPr>
              <w:t>Column Name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/>
                <w:bCs/>
              </w:rPr>
              <w:t>Description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Loan_ID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Unique identifier for each loan account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Borrower_Name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Full name of the loan beneficiary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Branch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Name of the branch where the loan was originated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Loan_Type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Category of loan (Personal, Mortgage, Business, etc.)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Principal_Amount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Original loan amount disbursed to the borrower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Outstanding_Balance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Current unpaid balance remaining on the loan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Days_Past_Due</w:t>
            </w:r>
            <w:r>
              <w:rPr>
                <w:rFonts w:ascii="Calibri" w:cs="Calibri" w:hAnsi="Calibri"/>
                <w:bCs/>
              </w:rPr>
              <w:t xml:space="preserve"> (DPD)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Number of days the loan repayment is overdue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Loan_Classification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CBN</w:t>
            </w:r>
            <w:r>
              <w:rPr>
                <w:rFonts w:ascii="Calibri" w:cs="Calibri" w:hAnsi="Calibri"/>
              </w:rPr>
              <w:t xml:space="preserve"> risk grade: Pass, Watch, Substandard, Doubtful, Loss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Collateral_Type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Type of security pledged against the loan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Collateral_Coverage_Ratio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Ratio of collateral value to outstanding loan balance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Risk_Score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Borrower risk score (0–100; higher = greater default risk)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Risk_Category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Risk band: Low, Medium, High, or Critical Risk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Provision_Amount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Amount set aside as bad debt reserve per regulatory rates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Alert_Flag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System </w:t>
            </w:r>
            <w:r>
              <w:rPr>
                <w:rFonts w:ascii="Calibri" w:cs="Calibri" w:hAnsi="Calibri"/>
              </w:rPr>
              <w:t xml:space="preserve">flag: NORMAL or ALERT (DPD </w:t>
            </w:r>
            <w:r>
              <w:rPr>
                <w:rFonts w:ascii="Calibri" w:cs="Calibri" w:hAnsi="Calibri"/>
              </w:rPr>
              <w:t>&gt;</w:t>
            </w:r>
            <w:r>
              <w:rPr>
                <w:rFonts w:ascii="Calibri" w:cs="Calibri" w:hAnsi="Calibri"/>
              </w:rPr>
              <w:t xml:space="preserve"> 30)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Interest_Rate</w:t>
            </w:r>
            <w:r>
              <w:rPr>
                <w:rFonts w:ascii="Calibri" w:cs="Calibri" w:hAnsi="Calibri"/>
                <w:bCs/>
              </w:rPr>
              <w:t>_%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Annual interest rate applied to the loan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Tenor_Months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Agreed repayment duration in months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Disbursement_Date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Date the loan was disbursed to the borrower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Maturity_Date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Contractual date by which the loan must be fully repaid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Borrower_Type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Segment: Individual, SME, Corporate, or Micro Business</w:t>
            </w:r>
          </w:p>
        </w:tc>
      </w:tr>
      <w:tr>
        <w:tblPrEx/>
        <w:trPr/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  <w:bCs/>
              </w:rPr>
              <w:t>Industry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108" w:type="dxa"/>
              <w:bottom w:w="55" w:type="dxa"/>
              <w:right w:w="108" w:type="dxa"/>
            </w:tcMar>
            <w:vAlign w:val="center"/>
          </w:tcPr>
          <w:p>
            <w:pPr>
              <w:pStyle w:val="style0"/>
              <w:spacing w:before="55" w:after="55" w:lineRule="auto" w:line="276"/>
              <w:jc w:val="both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Sector in which the borrower operates</w:t>
            </w:r>
          </w:p>
        </w:tc>
      </w:tr>
    </w:tbl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p>
      <w:pPr>
        <w:pStyle w:val="style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br w:type="page"/>
      </w:r>
    </w:p>
    <w:p>
      <w:pPr>
        <w:pStyle w:val="style0"/>
        <w:spacing w:before="200" w:after="1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4. Data Cleaning &amp; Transformation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The following steps were performed:</w:t>
      </w:r>
    </w:p>
    <w:p>
      <w:pPr>
        <w:pStyle w:val="style0"/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4.1 Data Validation</w:t>
      </w:r>
    </w:p>
    <w:p>
      <w:pPr>
        <w:pStyle w:val="style179"/>
        <w:numPr>
          <w:ilvl w:val="0"/>
          <w:numId w:val="3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Checked for duplicate records across </w:t>
      </w:r>
      <w:r>
        <w:rPr>
          <w:rFonts w:ascii="Calibri" w:cs="Calibri" w:hAnsi="Calibri"/>
        </w:rPr>
        <w:t>Loan_ID</w:t>
      </w:r>
      <w:r>
        <w:rPr>
          <w:rFonts w:ascii="Calibri" w:cs="Calibri" w:hAnsi="Calibri"/>
        </w:rPr>
        <w:t xml:space="preserve"> and Branch combinations</w:t>
      </w:r>
    </w:p>
    <w:p>
      <w:pPr>
        <w:pStyle w:val="style179"/>
        <w:numPr>
          <w:ilvl w:val="0"/>
          <w:numId w:val="3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Checked for missing values in all numeric and date columns</w:t>
      </w:r>
    </w:p>
    <w:p>
      <w:pPr>
        <w:pStyle w:val="style179"/>
        <w:numPr>
          <w:ilvl w:val="0"/>
          <w:numId w:val="3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Verified numeric columns contained only valid values</w:t>
      </w:r>
    </w:p>
    <w:p>
      <w:pPr>
        <w:pStyle w:val="style179"/>
        <w:numPr>
          <w:ilvl w:val="0"/>
          <w:numId w:val="3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Confirmed columns </w:t>
      </w:r>
      <w:r>
        <w:rPr>
          <w:rFonts w:ascii="Calibri" w:cs="Calibri" w:hAnsi="Calibri"/>
        </w:rPr>
        <w:t>with values in percentage</w:t>
      </w:r>
      <w:r>
        <w:rPr>
          <w:rFonts w:ascii="Calibri" w:cs="Calibri" w:hAnsi="Calibri"/>
        </w:rPr>
        <w:t xml:space="preserve"> were correctly scaled (0-100)</w:t>
      </w:r>
    </w:p>
    <w:p>
      <w:pPr>
        <w:pStyle w:val="style0"/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4.2 Logical Consistency Check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Checked if </w:t>
      </w:r>
      <w:r>
        <w:rPr>
          <w:rFonts w:ascii="Calibri" w:cs="Calibri" w:hAnsi="Calibri"/>
        </w:rPr>
        <w:t>Outstanding_Balance</w:t>
      </w:r>
      <w:r>
        <w:rPr>
          <w:rFonts w:ascii="Calibri" w:cs="Calibri" w:hAnsi="Calibri"/>
        </w:rPr>
        <w:t xml:space="preserve"> exceeded </w:t>
      </w:r>
      <w:r>
        <w:rPr>
          <w:rFonts w:ascii="Calibri" w:cs="Calibri" w:hAnsi="Calibri"/>
        </w:rPr>
        <w:t>Principal_Amount</w:t>
      </w:r>
      <w:r>
        <w:rPr>
          <w:rFonts w:ascii="Calibri" w:cs="Calibri" w:hAnsi="Calibri"/>
        </w:rPr>
        <w:t xml:space="preserve"> (indicating data entry errors)</w:t>
      </w:r>
    </w:p>
    <w:p>
      <w:pPr>
        <w:pStyle w:val="style0"/>
        <w:spacing w:before="120" w:after="60" w:lineRule="auto" w:line="276"/>
        <w:jc w:val="both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4.3 </w:t>
      </w:r>
      <w:r>
        <w:rPr>
          <w:rFonts w:ascii="Calibri" w:cs="Calibri" w:hAnsi="Calibri"/>
          <w:b/>
          <w:bCs/>
        </w:rPr>
        <w:t>DAX Measures Created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Total Portfolio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NPL Amount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NPL Ratio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Total Provision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Alert Count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Risk Score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Provision Coverage Ratio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Performing Loans Count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Total Loans Count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Performing Loans Percentage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Interest Rate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Tenor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Loan Size</w:t>
      </w:r>
    </w:p>
    <w:p>
      <w:pPr>
        <w:pStyle w:val="style179"/>
        <w:numPr>
          <w:ilvl w:val="0"/>
          <w:numId w:val="10"/>
        </w:numPr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Collateral Coverage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br w:type="page"/>
      </w:r>
    </w:p>
    <w:p>
      <w:pPr>
        <w:pStyle w:val="style0"/>
        <w:spacing w:before="120" w:after="6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5. Dashboard Development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The dashboard includes: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KPI Cards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Total Portfolio Outstanding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N</w:t>
      </w:r>
      <w:r>
        <w:rPr>
          <w:rFonts w:ascii="Calibri" w:cs="Calibri" w:hAnsi="Calibri"/>
        </w:rPr>
        <w:t>PL Amount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NPL Ratio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Alert Count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Total Provision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Total Loans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Loan Size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Tenor</w:t>
      </w:r>
    </w:p>
    <w:p>
      <w:pPr>
        <w:pStyle w:val="style179"/>
        <w:numPr>
          <w:ilvl w:val="0"/>
          <w:numId w:val="9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Average Interest Rate</w:t>
      </w:r>
    </w:p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p>
      <w:pPr>
        <w:pStyle w:val="style0"/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Visualizations Used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Column Chart for:</w:t>
      </w:r>
    </w:p>
    <w:p>
      <w:pPr>
        <w:pStyle w:val="style179"/>
        <w:numPr>
          <w:ilvl w:val="0"/>
          <w:numId w:val="11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Non Performing</w:t>
      </w:r>
      <w:r>
        <w:rPr>
          <w:rFonts w:ascii="Calibri" w:cs="Calibri" w:hAnsi="Calibri"/>
        </w:rPr>
        <w:t xml:space="preserve"> Loan </w:t>
      </w:r>
      <w:r>
        <w:rPr>
          <w:rFonts w:ascii="Calibri" w:cs="Calibri" w:hAnsi="Calibri"/>
        </w:rPr>
        <w:t>Ratio</w:t>
      </w:r>
    </w:p>
    <w:p>
      <w:pPr>
        <w:pStyle w:val="style179"/>
        <w:numPr>
          <w:ilvl w:val="0"/>
          <w:numId w:val="11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Loans by Overdue Days</w:t>
      </w:r>
    </w:p>
    <w:p>
      <w:pPr>
        <w:pStyle w:val="style0"/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Bar Chart for:</w:t>
      </w:r>
    </w:p>
    <w:p>
      <w:pPr>
        <w:pStyle w:val="style179"/>
        <w:numPr>
          <w:ilvl w:val="0"/>
          <w:numId w:val="12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Outstanding Balance </w:t>
      </w:r>
      <w:r>
        <w:rPr>
          <w:rFonts w:ascii="Calibri" w:cs="Calibri" w:hAnsi="Calibri"/>
        </w:rPr>
        <w:t>By</w:t>
      </w:r>
      <w:r>
        <w:rPr>
          <w:rFonts w:ascii="Calibri" w:cs="Calibri" w:hAnsi="Calibri"/>
        </w:rPr>
        <w:t xml:space="preserve"> Loan Type</w:t>
      </w:r>
    </w:p>
    <w:p>
      <w:pPr>
        <w:pStyle w:val="style179"/>
        <w:numPr>
          <w:ilvl w:val="0"/>
          <w:numId w:val="12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Loan Classification</w:t>
      </w:r>
    </w:p>
    <w:p>
      <w:pPr>
        <w:pStyle w:val="style179"/>
        <w:numPr>
          <w:ilvl w:val="0"/>
          <w:numId w:val="12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Outstanding Balance </w:t>
      </w:r>
      <w:r>
        <w:rPr>
          <w:rFonts w:ascii="Calibri" w:cs="Calibri" w:hAnsi="Calibri"/>
        </w:rPr>
        <w:t>By</w:t>
      </w:r>
      <w:r>
        <w:rPr>
          <w:rFonts w:ascii="Calibri" w:cs="Calibri" w:hAnsi="Calibri"/>
        </w:rPr>
        <w:t xml:space="preserve"> Branch</w:t>
      </w:r>
    </w:p>
    <w:p>
      <w:pPr>
        <w:pStyle w:val="style0"/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Doughnut for:</w:t>
      </w:r>
    </w:p>
    <w:p>
      <w:pPr>
        <w:pStyle w:val="style179"/>
        <w:numPr>
          <w:ilvl w:val="0"/>
          <w:numId w:val="13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Borrower Segment</w:t>
      </w:r>
    </w:p>
    <w:p>
      <w:pPr>
        <w:pStyle w:val="style0"/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Table for:</w:t>
      </w:r>
    </w:p>
    <w:p>
      <w:pPr>
        <w:pStyle w:val="style179"/>
        <w:numPr>
          <w:ilvl w:val="0"/>
          <w:numId w:val="14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Portfolio Health</w:t>
      </w:r>
    </w:p>
    <w:p>
      <w:pPr>
        <w:pStyle w:val="style179"/>
        <w:numPr>
          <w:ilvl w:val="0"/>
          <w:numId w:val="14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High Risks and Overdue Loans</w:t>
      </w:r>
    </w:p>
    <w:p>
      <w:pPr>
        <w:pStyle w:val="style179"/>
        <w:numPr>
          <w:ilvl w:val="0"/>
          <w:numId w:val="14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Collateral Type &amp; Coverage</w:t>
      </w:r>
    </w:p>
    <w:p>
      <w:pPr>
        <w:pStyle w:val="style179"/>
        <w:numPr>
          <w:ilvl w:val="0"/>
          <w:numId w:val="14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Loan Details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Line Chart for:</w:t>
      </w:r>
    </w:p>
    <w:p>
      <w:pPr>
        <w:pStyle w:val="style179"/>
        <w:numPr>
          <w:ilvl w:val="0"/>
          <w:numId w:val="15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Portfolio, </w:t>
      </w:r>
      <w:r>
        <w:rPr>
          <w:rFonts w:ascii="Calibri" w:cs="Calibri" w:hAnsi="Calibri"/>
        </w:rPr>
        <w:t>Non Performing</w:t>
      </w:r>
      <w:r>
        <w:rPr>
          <w:rFonts w:ascii="Calibri" w:cs="Calibri" w:hAnsi="Calibri"/>
        </w:rPr>
        <w:t xml:space="preserve"> Loan &amp; Total Provision </w:t>
      </w:r>
      <w:r>
        <w:rPr>
          <w:rFonts w:ascii="Calibri" w:cs="Calibri" w:hAnsi="Calibri"/>
        </w:rPr>
        <w:t>By</w:t>
      </w:r>
      <w:r>
        <w:rPr>
          <w:rFonts w:ascii="Calibri" w:cs="Calibri" w:hAnsi="Calibri"/>
        </w:rPr>
        <w:t xml:space="preserve"> Year</w:t>
      </w:r>
    </w:p>
    <w:p>
      <w:pPr>
        <w:pStyle w:val="style0"/>
        <w:spacing w:lineRule="auto" w:line="276"/>
        <w:jc w:val="both"/>
        <w:rPr>
          <w:rFonts w:ascii="Calibri" w:cs="Calibri" w:hAnsi="Calibri"/>
        </w:rPr>
      </w:pP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Slicers for:</w:t>
      </w: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  <w:sectPr>
          <w:pgSz w:w="12240" w:h="15840" w:orient="portrait"/>
          <w:pgMar w:top="993" w:right="1440" w:bottom="851" w:left="1440" w:header="708" w:footer="708" w:gutter="0"/>
          <w:cols w:space="720"/>
          <w:docGrid w:linePitch="360"/>
        </w:sectPr>
      </w:pP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Branch</w:t>
      </w: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Loan Type</w:t>
      </w: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Loan Classification</w:t>
      </w: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Disbursement Date</w:t>
      </w: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Borrower Type</w:t>
      </w:r>
    </w:p>
    <w:p>
      <w:pPr>
        <w:pStyle w:val="style179"/>
        <w:numPr>
          <w:ilvl w:val="0"/>
          <w:numId w:val="16"/>
        </w:numPr>
        <w:spacing w:after="80" w:lineRule="auto" w:line="276"/>
        <w:jc w:val="both"/>
        <w:rPr>
          <w:rFonts w:ascii="Calibri" w:cs="Calibri" w:hAnsi="Calibri"/>
        </w:rPr>
        <w:sectPr>
          <w:type w:val="continuous"/>
          <w:pgSz w:w="12240" w:h="15840" w:orient="portrait"/>
          <w:pgMar w:top="1440" w:right="1440" w:bottom="1440" w:left="1440" w:header="708" w:footer="708" w:gutter="0"/>
          <w:cols w:space="720" w:num="3"/>
          <w:docGrid w:linePitch="360"/>
        </w:sectPr>
      </w:pPr>
      <w:r>
        <w:rPr>
          <w:rFonts w:ascii="Calibri" w:cs="Calibri" w:hAnsi="Calibri"/>
        </w:rPr>
        <w:t>Y</w:t>
      </w:r>
      <w:r>
        <w:rPr>
          <w:rFonts w:ascii="Calibri" w:cs="Calibri" w:hAnsi="Calibri"/>
        </w:rPr>
        <w:t>ear</w:t>
      </w:r>
    </w:p>
    <w:p>
      <w:pPr>
        <w:pStyle w:val="style0"/>
        <w:spacing w:after="200" w:lineRule="auto" w:line="276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All visuals are dynamic and update based on filters.</w:t>
      </w:r>
    </w:p>
    <w:p>
      <w:pPr>
        <w:pStyle w:val="style0"/>
        <w:spacing w:after="200" w:lineRule="auto" w:line="360"/>
        <w:jc w:val="both"/>
        <w:rPr>
          <w:rFonts w:ascii="Calibri" w:cs="Calibri" w:hAnsi="Calibri"/>
          <w:b/>
          <w:bCs/>
          <w:color w:val="auto"/>
        </w:rPr>
      </w:pPr>
      <w:r>
        <w:rPr>
          <w:rFonts w:ascii="Calibri" w:cs="Calibri" w:hAnsi="Calibri"/>
          <w:b/>
          <w:bCs/>
        </w:rPr>
        <w:t>6</w:t>
      </w:r>
      <w:r>
        <w:rPr>
          <w:rFonts w:ascii="Calibri" w:cs="Calibri" w:hAnsi="Calibri"/>
          <w:b/>
          <w:bCs/>
          <w:color w:val="auto"/>
        </w:rPr>
        <w:t>. Key Findings &amp; Insights</w:t>
      </w:r>
    </w:p>
    <w:p>
      <w:pPr>
        <w:pStyle w:val="style179"/>
        <w:numPr>
          <w:ilvl w:val="0"/>
          <w:numId w:val="19"/>
        </w:numPr>
        <w:spacing w:before="60" w:after="100" w:lineRule="auto" w:line="360"/>
        <w:jc w:val="both"/>
        <w:rPr>
          <w:rFonts w:ascii="Calibri" w:cs="Calibri" w:eastAsia="Arial" w:hAnsi="Calibri"/>
          <w:color w:val="auto"/>
        </w:rPr>
      </w:pPr>
      <w:r>
        <w:rPr>
          <w:rFonts w:ascii="Calibri" w:cs="Calibri" w:eastAsia="Arial" w:hAnsi="Calibri"/>
          <w:color w:val="auto"/>
        </w:rPr>
        <w:t>At 17.2%, the portfolio NPL ratio is 2.46 times the CBN maximum of 7%. Thi</w:t>
      </w:r>
      <w:r>
        <w:rPr>
          <w:rFonts w:ascii="Calibri" w:cs="Calibri" w:eastAsia="Arial" w:hAnsi="Calibri"/>
          <w:color w:val="auto"/>
        </w:rPr>
        <w:t>s represents a systemic failure required to be escalated to the board.</w:t>
      </w:r>
    </w:p>
    <w:p>
      <w:pPr>
        <w:pStyle w:val="style179"/>
        <w:numPr>
          <w:ilvl w:val="0"/>
          <w:numId w:val="19"/>
        </w:numPr>
        <w:spacing w:before="60" w:after="100" w:lineRule="auto" w:line="360"/>
        <w:jc w:val="both"/>
        <w:rPr>
          <w:rFonts w:ascii="Calibri" w:cs="Calibri" w:hAnsi="Calibri"/>
          <w:color w:val="auto"/>
        </w:rPr>
      </w:pPr>
      <w:r>
        <w:rPr>
          <w:rFonts w:ascii="Calibri" w:cs="Calibri" w:eastAsia="Arial" w:hAnsi="Calibri"/>
          <w:color w:val="auto"/>
        </w:rPr>
        <w:t>3,099 (10.3%) of the total loans are completely unsecured with zero collateral. A further 1,501 (5%) of the total loans use inventory as collateral, which are assets with distressed recovery rates.</w:t>
      </w:r>
    </w:p>
    <w:p>
      <w:pPr>
        <w:pStyle w:val="style179"/>
        <w:numPr>
          <w:ilvl w:val="0"/>
          <w:numId w:val="19"/>
        </w:numPr>
        <w:spacing w:before="60" w:after="100" w:lineRule="auto" w:line="360"/>
        <w:jc w:val="both"/>
        <w:rPr>
          <w:rFonts w:ascii="Calibri" w:cs="Calibri" w:eastAsia="Arial" w:hAnsi="Calibri"/>
          <w:color w:val="auto"/>
        </w:rPr>
      </w:pPr>
      <w:r>
        <w:rPr>
          <w:rFonts w:ascii="Calibri" w:cs="Calibri" w:eastAsia="Arial" w:hAnsi="Calibri"/>
          <w:color w:val="auto"/>
        </w:rPr>
        <w:t xml:space="preserve">Loans disbursed in 2024 show higher proportions of Substandard and Doubtful classifications compared to 2021, 2022 and 2023; suggesting possible loosening of underwriting standards during </w:t>
      </w:r>
      <w:r>
        <w:rPr>
          <w:rFonts w:ascii="Calibri" w:cs="Calibri" w:eastAsia="Arial" w:hAnsi="Calibri"/>
          <w:color w:val="auto"/>
          <w:lang w:val="en-US"/>
        </w:rPr>
        <w:t xml:space="preserve">the </w:t>
      </w:r>
      <w:r>
        <w:rPr>
          <w:rFonts w:ascii="Calibri" w:cs="Calibri" w:eastAsia="Arial" w:hAnsi="Calibri"/>
          <w:color w:val="auto"/>
        </w:rPr>
        <w:t>disbursement process.</w:t>
      </w:r>
    </w:p>
    <w:p>
      <w:pPr>
        <w:pStyle w:val="style179"/>
        <w:numPr>
          <w:ilvl w:val="0"/>
          <w:numId w:val="19"/>
        </w:numPr>
        <w:spacing w:before="60" w:after="100" w:lineRule="auto" w:line="360"/>
        <w:jc w:val="both"/>
        <w:rPr>
          <w:rFonts w:ascii="Calibri" w:cs="Calibri" w:hAnsi="Calibri"/>
          <w:color w:val="auto"/>
        </w:rPr>
      </w:pPr>
      <w:r>
        <w:rPr>
          <w:rFonts w:ascii="Calibri" w:cs="Calibri" w:eastAsia="Arial" w:hAnsi="Calibri"/>
          <w:color w:val="auto"/>
        </w:rPr>
        <w:t xml:space="preserve">Port Harcourt has the highest </w:t>
      </w:r>
      <w:r>
        <w:rPr>
          <w:rFonts w:ascii="Calibri" w:cs="Calibri" w:eastAsia="Arial" w:hAnsi="Calibri"/>
          <w:color w:val="auto"/>
        </w:rPr>
        <w:t xml:space="preserve">loans lost with 11.74% </w:t>
      </w:r>
      <w:r>
        <w:rPr>
          <w:rFonts w:ascii="Calibri" w:cs="Calibri" w:eastAsia="Arial" w:hAnsi="Calibri"/>
          <w:color w:val="auto"/>
        </w:rPr>
        <w:t>outstanding</w:t>
      </w:r>
      <w:r>
        <w:rPr>
          <w:rFonts w:ascii="Calibri" w:cs="Calibri" w:eastAsia="Arial" w:hAnsi="Calibri"/>
          <w:color w:val="auto"/>
        </w:rPr>
        <w:t xml:space="preserve"> loan</w:t>
      </w:r>
      <w:r>
        <w:rPr>
          <w:rFonts w:ascii="Calibri" w:cs="Calibri" w:eastAsia="Arial" w:hAnsi="Calibri"/>
          <w:color w:val="auto"/>
        </w:rPr>
        <w:t xml:space="preserve"> balance</w:t>
      </w:r>
      <w:r>
        <w:rPr>
          <w:rFonts w:ascii="Calibri" w:cs="Calibri" w:eastAsia="Arial" w:hAnsi="Calibri"/>
          <w:color w:val="auto"/>
        </w:rPr>
        <w:t xml:space="preserve">. </w:t>
      </w:r>
      <w:r>
        <w:rPr>
          <w:rFonts w:ascii="Calibri" w:cs="Calibri" w:eastAsia="Arial" w:hAnsi="Calibri"/>
          <w:color w:val="auto"/>
        </w:rPr>
        <w:t>Calabar</w:t>
      </w:r>
      <w:r>
        <w:rPr>
          <w:rFonts w:ascii="Calibri" w:cs="Calibri" w:eastAsia="Arial" w:hAnsi="Calibri"/>
          <w:color w:val="auto"/>
        </w:rPr>
        <w:t xml:space="preserve"> has the highest of doubtful and lost loans with 11.63% of outstanding loan balance.</w:t>
      </w:r>
    </w:p>
    <w:p>
      <w:pPr>
        <w:pStyle w:val="style179"/>
        <w:spacing w:before="60" w:after="100" w:lineRule="auto" w:line="360"/>
        <w:ind w:left="720"/>
        <w:jc w:val="both"/>
        <w:rPr>
          <w:rFonts w:ascii="Calibri" w:cs="Calibri" w:hAnsi="Calibri"/>
          <w:color w:val="auto"/>
        </w:rPr>
      </w:pPr>
    </w:p>
    <w:p>
      <w:pPr>
        <w:pStyle w:val="style0"/>
        <w:spacing w:before="200" w:after="100" w:lineRule="auto" w:line="360"/>
        <w:jc w:val="both"/>
        <w:rPr>
          <w:rFonts w:ascii="Calibri" w:cs="Calibri" w:hAnsi="Calibri"/>
          <w:color w:val="auto"/>
        </w:rPr>
      </w:pPr>
      <w:r>
        <w:rPr>
          <w:rFonts w:ascii="Calibri" w:cs="Calibri" w:hAnsi="Calibri"/>
          <w:b/>
          <w:bCs/>
          <w:color w:val="auto"/>
        </w:rPr>
        <w:t>7. Recommendations</w:t>
      </w:r>
    </w:p>
    <w:p>
      <w:pPr>
        <w:pStyle w:val="style179"/>
        <w:numPr>
          <w:ilvl w:val="0"/>
          <w:numId w:val="18"/>
        </w:numPr>
        <w:spacing w:after="80" w:lineRule="auto" w:line="360"/>
        <w:jc w:val="both"/>
        <w:rPr>
          <w:rFonts w:ascii="Calibri" w:cs="Calibri" w:hAnsi="Calibri"/>
          <w:color w:val="auto"/>
        </w:rPr>
      </w:pPr>
      <w:r>
        <w:rPr>
          <w:rFonts w:ascii="Calibri" w:cs="Calibri" w:hAnsi="Calibri"/>
          <w:color w:val="auto"/>
        </w:rPr>
        <w:t xml:space="preserve">Recovery </w:t>
      </w:r>
      <w:r>
        <w:rPr>
          <w:rFonts w:ascii="Calibri" w:cs="Calibri" w:hAnsi="Calibri"/>
          <w:color w:val="auto"/>
        </w:rPr>
        <w:t>of loans in the Critical R</w:t>
      </w:r>
      <w:r>
        <w:rPr>
          <w:rFonts w:ascii="Calibri" w:cs="Calibri" w:hAnsi="Calibri"/>
          <w:color w:val="auto"/>
        </w:rPr>
        <w:t xml:space="preserve">isk category should be prioritized. </w:t>
      </w:r>
      <w:r>
        <w:rPr>
          <w:rFonts w:ascii="Calibri" w:cs="Calibri" w:hAnsi="Calibri"/>
          <w:color w:val="auto"/>
        </w:rPr>
        <w:t>All accounts exceeding 365 DPD with low collateral value</w:t>
      </w:r>
      <w:r>
        <w:rPr>
          <w:rFonts w:ascii="Calibri" w:cs="Calibri" w:hAnsi="Calibri"/>
          <w:color w:val="auto"/>
        </w:rPr>
        <w:t>s</w:t>
      </w:r>
      <w:r>
        <w:rPr>
          <w:rFonts w:ascii="Calibri" w:cs="Calibri" w:hAnsi="Calibri"/>
          <w:color w:val="auto"/>
        </w:rPr>
        <w:t xml:space="preserve"> should be referred for legal actions immediately.</w:t>
      </w:r>
    </w:p>
    <w:p>
      <w:pPr>
        <w:pStyle w:val="style179"/>
        <w:numPr>
          <w:ilvl w:val="0"/>
          <w:numId w:val="18"/>
        </w:numPr>
        <w:spacing w:after="80" w:lineRule="auto" w:line="36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A new formal policy for </w:t>
      </w:r>
      <w:r>
        <w:rPr>
          <w:rFonts w:ascii="Calibri" w:cs="Calibri" w:hAnsi="Calibri"/>
        </w:rPr>
        <w:t xml:space="preserve">minimum </w:t>
      </w:r>
      <w:r>
        <w:rPr>
          <w:rFonts w:ascii="Calibri" w:cs="Calibri" w:hAnsi="Calibri"/>
        </w:rPr>
        <w:t xml:space="preserve">collateral coverage </w:t>
      </w:r>
      <w:r>
        <w:rPr>
          <w:rFonts w:ascii="Calibri" w:cs="Calibri" w:hAnsi="Calibri"/>
        </w:rPr>
        <w:t>should be implemented. This will eradicate the risk of unsecured loans.</w:t>
      </w:r>
    </w:p>
    <w:p>
      <w:pPr>
        <w:pStyle w:val="style179"/>
        <w:numPr>
          <w:ilvl w:val="0"/>
          <w:numId w:val="18"/>
        </w:numPr>
        <w:spacing w:after="80" w:lineRule="auto" w:line="36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A strategized approach should be established for loans in watch </w:t>
      </w:r>
      <w:r>
        <w:rPr>
          <w:rFonts w:ascii="Calibri" w:cs="Calibri" w:hAnsi="Calibri"/>
        </w:rPr>
        <w:t>Watch</w:t>
      </w:r>
      <w:r>
        <w:rPr>
          <w:rFonts w:ascii="Calibri" w:cs="Calibri" w:hAnsi="Calibri"/>
        </w:rPr>
        <w:t xml:space="preserve"> and Substandard category to prevent further NPL accounts. Interest rate reductions and tenor extensions should be given to borrowers that can provide repayment plan.</w:t>
      </w:r>
    </w:p>
    <w:sectPr>
      <w:type w:val="continuous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35AEDAA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3aed"/>
      </w:rPr>
    </w:lvl>
    <w:lvl w:ilvl="1" w:tplc="B2086FE2" w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64748b"/>
      </w:rPr>
    </w:lvl>
    <w:lvl w:ilvl="2" w:tplc="C5B07BCE">
      <w:start w:val="1"/>
      <w:numFmt w:val="decimal"/>
      <w:lvlText w:val=""/>
      <w:lvlJc w:val="left"/>
      <w:pPr/>
    </w:lvl>
    <w:lvl w:ilvl="3" w:tplc="2ED8A376">
      <w:start w:val="1"/>
      <w:numFmt w:val="decimal"/>
      <w:lvlText w:val=""/>
      <w:lvlJc w:val="left"/>
      <w:pPr/>
    </w:lvl>
    <w:lvl w:ilvl="4" w:tplc="53124910">
      <w:start w:val="1"/>
      <w:numFmt w:val="decimal"/>
      <w:lvlText w:val=""/>
      <w:lvlJc w:val="left"/>
      <w:pPr/>
    </w:lvl>
    <w:lvl w:ilvl="5" w:tplc="80E42512">
      <w:start w:val="1"/>
      <w:numFmt w:val="decimal"/>
      <w:lvlText w:val=""/>
      <w:lvlJc w:val="left"/>
      <w:pPr/>
    </w:lvl>
    <w:lvl w:ilvl="6" w:tplc="74AEC37E">
      <w:start w:val="1"/>
      <w:numFmt w:val="decimal"/>
      <w:lvlText w:val=""/>
      <w:lvlJc w:val="left"/>
      <w:pPr/>
    </w:lvl>
    <w:lvl w:ilvl="7" w:tplc="32567482">
      <w:start w:val="1"/>
      <w:numFmt w:val="decimal"/>
      <w:lvlText w:val=""/>
      <w:lvlJc w:val="left"/>
      <w:pPr/>
    </w:lvl>
    <w:lvl w:ilvl="8" w:tplc="2E7E012A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7D48C104"/>
    <w:lvl w:ilvl="0" w:tplc="407E90F6">
      <w:start w:val="1"/>
      <w:numFmt w:val="upperRoman"/>
      <w:lvlText w:val="%1."/>
      <w:lvlJc w:val="right"/>
      <w:pPr>
        <w:ind w:left="720" w:hanging="360"/>
      </w:pPr>
      <w:rPr>
        <w:b w:val="false"/>
        <w:bCs/>
        <w:sz w:val="22"/>
        <w:szCs w:val="22"/>
      </w:rPr>
    </w:lvl>
    <w:lvl w:ilvl="1" w:tplc="0CE40112">
      <w:start w:val="1"/>
      <w:numFmt w:val="decimal"/>
      <w:lvlText w:val=""/>
      <w:lvlJc w:val="left"/>
      <w:pPr/>
    </w:lvl>
    <w:lvl w:ilvl="2" w:tplc="71FEBBA0">
      <w:start w:val="1"/>
      <w:numFmt w:val="decimal"/>
      <w:lvlText w:val=""/>
      <w:lvlJc w:val="left"/>
      <w:pPr/>
    </w:lvl>
    <w:lvl w:ilvl="3" w:tplc="5C0000C4">
      <w:start w:val="1"/>
      <w:numFmt w:val="decimal"/>
      <w:lvlText w:val=""/>
      <w:lvlJc w:val="left"/>
      <w:pPr/>
    </w:lvl>
    <w:lvl w:ilvl="4" w:tplc="C29ECD5C">
      <w:start w:val="1"/>
      <w:numFmt w:val="decimal"/>
      <w:lvlText w:val=""/>
      <w:lvlJc w:val="left"/>
      <w:pPr/>
    </w:lvl>
    <w:lvl w:ilvl="5" w:tplc="FAD43B58">
      <w:start w:val="1"/>
      <w:numFmt w:val="decimal"/>
      <w:lvlText w:val=""/>
      <w:lvlJc w:val="left"/>
      <w:pPr/>
    </w:lvl>
    <w:lvl w:ilvl="6" w:tplc="F266C042">
      <w:start w:val="1"/>
      <w:numFmt w:val="decimal"/>
      <w:lvlText w:val=""/>
      <w:lvlJc w:val="left"/>
      <w:pPr/>
    </w:lvl>
    <w:lvl w:ilvl="7" w:tplc="2818AC0C">
      <w:start w:val="1"/>
      <w:numFmt w:val="decimal"/>
      <w:lvlText w:val=""/>
      <w:lvlJc w:val="left"/>
      <w:pPr/>
    </w:lvl>
    <w:lvl w:ilvl="8" w:tplc="EA58D59E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7B90E18A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28A48894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4">
    <w:nsid w:val="00000004"/>
    <w:multiLevelType w:val="hybridMultilevel"/>
    <w:tmpl w:val="316415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507C2E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A1CE11A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7">
    <w:nsid w:val="00000007"/>
    <w:multiLevelType w:val="hybridMultilevel"/>
    <w:tmpl w:val="88E647D0"/>
    <w:lvl w:ilvl="0" w:tplc="66B813B2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sz w:val="22"/>
        <w:szCs w:val="22"/>
      </w:rPr>
    </w:lvl>
    <w:lvl w:ilvl="1" w:tplc="0CE40112">
      <w:start w:val="1"/>
      <w:numFmt w:val="decimal"/>
      <w:lvlText w:val=""/>
      <w:lvlJc w:val="left"/>
      <w:pPr/>
    </w:lvl>
    <w:lvl w:ilvl="2" w:tplc="71FEBBA0">
      <w:start w:val="1"/>
      <w:numFmt w:val="decimal"/>
      <w:lvlText w:val=""/>
      <w:lvlJc w:val="left"/>
      <w:pPr/>
    </w:lvl>
    <w:lvl w:ilvl="3" w:tplc="5C0000C4">
      <w:start w:val="1"/>
      <w:numFmt w:val="decimal"/>
      <w:lvlText w:val=""/>
      <w:lvlJc w:val="left"/>
      <w:pPr/>
    </w:lvl>
    <w:lvl w:ilvl="4" w:tplc="C29ECD5C">
      <w:start w:val="1"/>
      <w:numFmt w:val="decimal"/>
      <w:lvlText w:val=""/>
      <w:lvlJc w:val="left"/>
      <w:pPr/>
    </w:lvl>
    <w:lvl w:ilvl="5" w:tplc="FAD43B58">
      <w:start w:val="1"/>
      <w:numFmt w:val="decimal"/>
      <w:lvlText w:val=""/>
      <w:lvlJc w:val="left"/>
      <w:pPr/>
    </w:lvl>
    <w:lvl w:ilvl="6" w:tplc="F266C042">
      <w:start w:val="1"/>
      <w:numFmt w:val="decimal"/>
      <w:lvlText w:val=""/>
      <w:lvlJc w:val="left"/>
      <w:pPr/>
    </w:lvl>
    <w:lvl w:ilvl="7" w:tplc="2818AC0C">
      <w:start w:val="1"/>
      <w:numFmt w:val="decimal"/>
      <w:lvlText w:val=""/>
      <w:lvlJc w:val="left"/>
      <w:pPr/>
    </w:lvl>
    <w:lvl w:ilvl="8" w:tplc="EA58D59E">
      <w:start w:val="1"/>
      <w:numFmt w:val="decimal"/>
      <w:lvlText w:val=""/>
      <w:lvlJc w:val="left"/>
      <w:pPr/>
    </w:lvl>
  </w:abstractNum>
  <w:abstractNum w:abstractNumId="8">
    <w:nsid w:val="00000008"/>
    <w:multiLevelType w:val="hybridMultilevel"/>
    <w:tmpl w:val="846226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BB205A56"/>
    <w:lvl w:ilvl="0" w:tplc="EDAC8F3E">
      <w:start w:val="1"/>
      <w:numFmt w:val="bullet"/>
      <w:lvlText w:val="●"/>
      <w:lvlJc w:val="left"/>
      <w:pPr>
        <w:ind w:left="720" w:hanging="360"/>
      </w:pPr>
    </w:lvl>
    <w:lvl w:ilvl="1" w:tplc="D1CC3EF6">
      <w:start w:val="1"/>
      <w:numFmt w:val="bullet"/>
      <w:lvlText w:val="○"/>
      <w:lvlJc w:val="left"/>
      <w:pPr>
        <w:ind w:left="1440" w:hanging="360"/>
      </w:pPr>
    </w:lvl>
    <w:lvl w:ilvl="2" w:tplc="B596B340">
      <w:start w:val="1"/>
      <w:numFmt w:val="bullet"/>
      <w:lvlText w:val="■"/>
      <w:lvlJc w:val="left"/>
      <w:pPr>
        <w:ind w:left="2160" w:hanging="360"/>
      </w:pPr>
    </w:lvl>
    <w:lvl w:ilvl="3" w:tplc="23446686">
      <w:start w:val="1"/>
      <w:numFmt w:val="bullet"/>
      <w:lvlText w:val="●"/>
      <w:lvlJc w:val="left"/>
      <w:pPr>
        <w:ind w:left="2880" w:hanging="360"/>
      </w:pPr>
    </w:lvl>
    <w:lvl w:ilvl="4" w:tplc="B4B4E84C">
      <w:start w:val="1"/>
      <w:numFmt w:val="bullet"/>
      <w:lvlText w:val="○"/>
      <w:lvlJc w:val="left"/>
      <w:pPr>
        <w:ind w:left="3600" w:hanging="360"/>
      </w:pPr>
    </w:lvl>
    <w:lvl w:ilvl="5" w:tplc="73060CB2">
      <w:start w:val="1"/>
      <w:numFmt w:val="bullet"/>
      <w:lvlText w:val="■"/>
      <w:lvlJc w:val="left"/>
      <w:pPr>
        <w:ind w:left="4320" w:hanging="360"/>
      </w:pPr>
    </w:lvl>
    <w:lvl w:ilvl="6" w:tplc="4BB48716">
      <w:start w:val="1"/>
      <w:numFmt w:val="bullet"/>
      <w:lvlText w:val="●"/>
      <w:lvlJc w:val="left"/>
      <w:pPr>
        <w:ind w:left="5040" w:hanging="360"/>
      </w:pPr>
    </w:lvl>
    <w:lvl w:ilvl="7" w:tplc="D4EAD642">
      <w:start w:val="1"/>
      <w:numFmt w:val="bullet"/>
      <w:lvlText w:val="●"/>
      <w:lvlJc w:val="left"/>
      <w:pPr>
        <w:ind w:left="5760" w:hanging="360"/>
      </w:pPr>
    </w:lvl>
    <w:lvl w:ilvl="8" w:tplc="3A7AC5DE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0000000A"/>
    <w:multiLevelType w:val="hybridMultilevel"/>
    <w:tmpl w:val="16CC07FA"/>
    <w:lvl w:ilvl="0" w:tplc="47A86DD4">
      <w:start w:val="1"/>
      <w:numFmt w:val="upperRoman"/>
      <w:lvlText w:val="%1."/>
      <w:lvlJc w:val="left"/>
      <w:pPr>
        <w:ind w:left="900" w:hanging="540"/>
      </w:pPr>
      <w:rPr>
        <w:rFonts w:ascii="Calibri" w:cs="Calibri" w:eastAsia="Calibri" w:hAnsi="Calibri"/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11">
    <w:nsid w:val="0000000B"/>
    <w:multiLevelType w:val="hybridMultilevel"/>
    <w:tmpl w:val="5A225B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ED0A1ABC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13">
    <w:nsid w:val="0000000D"/>
    <w:multiLevelType w:val="hybridMultilevel"/>
    <w:tmpl w:val="08EA4FB0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14">
    <w:nsid w:val="0000000E"/>
    <w:multiLevelType w:val="hybridMultilevel"/>
    <w:tmpl w:val="68342644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abstractNum w:abstractNumId="15">
    <w:nsid w:val="0000000F"/>
    <w:multiLevelType w:val="hybridMultilevel"/>
    <w:tmpl w:val="CE0AD0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457E8762"/>
    <w:lvl w:ilvl="0" w:tplc="04090013">
      <w:start w:val="1"/>
      <w:numFmt w:val="upperRoman"/>
      <w:lvlText w:val="%1."/>
      <w:lvlJc w:val="right"/>
      <w:pPr>
        <w:ind w:left="900" w:hanging="540"/>
      </w:pPr>
      <w:rPr>
        <w:sz w:val="22"/>
        <w:szCs w:val="22"/>
      </w:rPr>
    </w:lvl>
    <w:lvl w:ilvl="1" w:tplc="C602CCEE">
      <w:start w:val="1"/>
      <w:numFmt w:val="decimal"/>
      <w:lvlText w:val=""/>
      <w:lvlJc w:val="left"/>
      <w:pPr/>
    </w:lvl>
    <w:lvl w:ilvl="2" w:tplc="7FBAA454">
      <w:start w:val="1"/>
      <w:numFmt w:val="decimal"/>
      <w:lvlText w:val=""/>
      <w:lvlJc w:val="left"/>
      <w:pPr/>
    </w:lvl>
    <w:lvl w:ilvl="3" w:tplc="D9E0E304">
      <w:start w:val="1"/>
      <w:numFmt w:val="decimal"/>
      <w:lvlText w:val=""/>
      <w:lvlJc w:val="left"/>
      <w:pPr/>
    </w:lvl>
    <w:lvl w:ilvl="4" w:tplc="CB16BD5E">
      <w:start w:val="1"/>
      <w:numFmt w:val="decimal"/>
      <w:lvlText w:val=""/>
      <w:lvlJc w:val="left"/>
      <w:pPr/>
    </w:lvl>
    <w:lvl w:ilvl="5" w:tplc="6ADA8E3E">
      <w:start w:val="1"/>
      <w:numFmt w:val="decimal"/>
      <w:lvlText w:val=""/>
      <w:lvlJc w:val="left"/>
      <w:pPr/>
    </w:lvl>
    <w:lvl w:ilvl="6" w:tplc="58ECDE50">
      <w:start w:val="1"/>
      <w:numFmt w:val="decimal"/>
      <w:lvlText w:val=""/>
      <w:lvlJc w:val="left"/>
      <w:pPr/>
    </w:lvl>
    <w:lvl w:ilvl="7" w:tplc="3FAC03FA">
      <w:start w:val="1"/>
      <w:numFmt w:val="decimal"/>
      <w:lvlText w:val=""/>
      <w:lvlJc w:val="left"/>
      <w:pPr/>
    </w:lvl>
    <w:lvl w:ilvl="8" w:tplc="CE4AA4E4">
      <w:start w:val="1"/>
      <w:numFmt w:val="decimal"/>
      <w:lvlText w:val=""/>
      <w:lvlJc w:val="left"/>
      <w:pPr/>
    </w:lvl>
  </w:abstractNum>
  <w:num w:numId="1">
    <w:abstractNumId w:val="16"/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0"/>
  </w:num>
  <w:num w:numId="6">
    <w:abstractNumId w:val="3"/>
  </w:num>
  <w:num w:numId="7">
    <w:abstractNumId w:val="2"/>
  </w:num>
  <w:num w:numId="8">
    <w:abstractNumId w:val="0"/>
    <w:lvlOverride w:ilvl="0">
      <w:startOverride w:val="1"/>
    </w:lvlOverride>
  </w:num>
  <w:num w:numId="9">
    <w:abstractNumId w:val="13"/>
  </w:num>
  <w:num w:numId="10">
    <w:abstractNumId w:val="8"/>
  </w:num>
  <w:num w:numId="11">
    <w:abstractNumId w:val="12"/>
  </w:num>
  <w:num w:numId="12">
    <w:abstractNumId w:val="15"/>
  </w:num>
  <w:num w:numId="13">
    <w:abstractNumId w:val="5"/>
  </w:num>
  <w:num w:numId="14">
    <w:abstractNumId w:val="4"/>
  </w:num>
  <w:num w:numId="15">
    <w:abstractNumId w:val="14"/>
  </w:num>
  <w:num w:numId="16">
    <w:abstractNumId w:val="6"/>
  </w:num>
  <w:num w:numId="17">
    <w:abstractNumId w:val="7"/>
  </w:num>
  <w:num w:numId="18">
    <w:abstractNumId w:val="1"/>
  </w:num>
  <w:num w:numId="19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color w:val="000000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pPr>
      <w:outlineLvl w:val="4"/>
    </w:pPr>
    <w:rPr>
      <w:color w:val="2e74b5"/>
    </w:rPr>
  </w:style>
  <w:style w:type="paragraph" w:styleId="style6">
    <w:name w:val="heading 6"/>
    <w:next w:val="style6"/>
    <w:qFormat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9">
    <w:name w:val="Heading 21"/>
    <w:next w:val="style4099"/>
    <w:qFormat/>
    <w:pPr>
      <w:spacing w:before="220" w:after="1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780</Words>
  <Pages>5</Pages>
  <Characters>4592</Characters>
  <Application>WPS Office</Application>
  <DocSecurity>0</DocSecurity>
  <Paragraphs>189</Paragraphs>
  <ScaleCrop>false</ScaleCrop>
  <LinksUpToDate>false</LinksUpToDate>
  <CharactersWithSpaces>5215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2026-04-06T18:17:29Z</dcterms:created>
  <dc:creator>Un-named</dc:creator>
  <lastModifiedBy>Infinix X6531B</lastModifiedBy>
  <dcterms:modified xsi:type="dcterms:W3CDTF">2026-04-06T18:17:30Z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822baa3b6ba044909673bac2fca62720</vt:lpwstr>
  </property>
</Properties>
</file>