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C2817" w14:textId="77777777" w:rsidR="00BE6856" w:rsidRPr="00BE6856" w:rsidRDefault="00BE6856" w:rsidP="00BE6856">
      <w:pPr>
        <w:rPr>
          <w:b/>
          <w:bCs/>
        </w:rPr>
      </w:pPr>
      <w:r w:rsidRPr="00BE6856">
        <w:rPr>
          <w:rFonts w:ascii="Segoe UI Emoji" w:hAnsi="Segoe UI Emoji" w:cs="Segoe UI Emoji"/>
          <w:b/>
          <w:bCs/>
        </w:rPr>
        <w:t>📊</w:t>
      </w:r>
      <w:r w:rsidRPr="00BE6856">
        <w:rPr>
          <w:b/>
          <w:bCs/>
        </w:rPr>
        <w:t xml:space="preserve"> Research Performance Summary: Q1 FY24 – Q3 FY25</w:t>
      </w:r>
    </w:p>
    <w:p w14:paraId="621ABE3D" w14:textId="77777777" w:rsidR="00BE6856" w:rsidRPr="00BE6856" w:rsidRDefault="00BE6856" w:rsidP="00BE6856">
      <w:pPr>
        <w:pStyle w:val="ListParagraph"/>
        <w:numPr>
          <w:ilvl w:val="0"/>
          <w:numId w:val="7"/>
        </w:numPr>
      </w:pPr>
      <w:r w:rsidRPr="00BE6856">
        <w:rPr>
          <w:rFonts w:ascii="Segoe UI Emoji" w:hAnsi="Segoe UI Emoji" w:cs="Segoe UI Emoji"/>
          <w:b/>
          <w:bCs/>
        </w:rPr>
        <w:t>🎯</w:t>
      </w:r>
      <w:r w:rsidRPr="00BE6856">
        <w:rPr>
          <w:b/>
          <w:bCs/>
        </w:rPr>
        <w:t xml:space="preserve"> Proposal Outcomes</w:t>
      </w:r>
      <w:r w:rsidRPr="00BE6856">
        <w:br/>
        <w:t xml:space="preserve">A total of </w:t>
      </w:r>
      <w:r w:rsidRPr="00BE6856">
        <w:rPr>
          <w:b/>
          <w:bCs/>
        </w:rPr>
        <w:t>1,419 proposals</w:t>
      </w:r>
      <w:r w:rsidRPr="00BE6856">
        <w:t xml:space="preserve"> were submitted, with </w:t>
      </w:r>
      <w:r w:rsidRPr="00BE6856">
        <w:rPr>
          <w:b/>
          <w:bCs/>
        </w:rPr>
        <w:t>622 funded</w:t>
      </w:r>
      <w:r w:rsidRPr="00BE6856">
        <w:t xml:space="preserve">, resulting in a </w:t>
      </w:r>
      <w:r w:rsidRPr="00BE6856">
        <w:rPr>
          <w:b/>
          <w:bCs/>
        </w:rPr>
        <w:t>43.8% funding rate</w:t>
      </w:r>
      <w:r w:rsidRPr="00BE6856">
        <w:t>.</w:t>
      </w:r>
      <w:r w:rsidRPr="00BE6856">
        <w:br/>
      </w:r>
      <w:r w:rsidRPr="00BE6856">
        <w:rPr>
          <w:b/>
          <w:bCs/>
        </w:rPr>
        <w:t>Total awarded:</w:t>
      </w:r>
      <w:r w:rsidRPr="00BE6856">
        <w:t xml:space="preserve"> $232.3M | </w:t>
      </w:r>
      <w:r w:rsidRPr="00BE6856">
        <w:rPr>
          <w:b/>
          <w:bCs/>
        </w:rPr>
        <w:t>Average per award:</w:t>
      </w:r>
      <w:r w:rsidRPr="00BE6856">
        <w:t xml:space="preserve"> $373K</w:t>
      </w:r>
    </w:p>
    <w:p w14:paraId="370119BB" w14:textId="78F5F82A" w:rsidR="00BE6856" w:rsidRPr="00BE6856" w:rsidRDefault="00BE6856" w:rsidP="00BE6856">
      <w:pPr>
        <w:ind w:left="720"/>
      </w:pPr>
      <w:r w:rsidRPr="00BE6856">
        <w:rPr>
          <w:b/>
          <w:bCs/>
        </w:rPr>
        <w:t>Top 3 College</w:t>
      </w:r>
      <w:r>
        <w:rPr>
          <w:b/>
          <w:bCs/>
        </w:rPr>
        <w:t xml:space="preserve">s/Divisions </w:t>
      </w:r>
      <w:r w:rsidRPr="00BE6856">
        <w:rPr>
          <w:b/>
          <w:bCs/>
        </w:rPr>
        <w:t>by Award Dollars:</w:t>
      </w:r>
    </w:p>
    <w:p w14:paraId="4044E02B" w14:textId="77777777" w:rsidR="00BE6856" w:rsidRPr="00BE6856" w:rsidRDefault="00BE6856" w:rsidP="00BE6856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BE6856">
        <w:rPr>
          <w:b/>
          <w:bCs/>
        </w:rPr>
        <w:t>Agriculture:</w:t>
      </w:r>
      <w:r w:rsidRPr="00BE6856">
        <w:t xml:space="preserve"> $53.8M</w:t>
      </w:r>
    </w:p>
    <w:p w14:paraId="2D58A52B" w14:textId="77777777" w:rsidR="00BE6856" w:rsidRPr="00BE6856" w:rsidRDefault="00BE6856" w:rsidP="00BE6856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BE6856">
        <w:rPr>
          <w:b/>
          <w:bCs/>
        </w:rPr>
        <w:t>Research &amp; Economic Development:</w:t>
      </w:r>
      <w:r w:rsidRPr="00BE6856">
        <w:t xml:space="preserve"> $48.5M</w:t>
      </w:r>
    </w:p>
    <w:p w14:paraId="3CC52A67" w14:textId="77777777" w:rsidR="00BE6856" w:rsidRPr="00BE6856" w:rsidRDefault="00BE6856" w:rsidP="00BE6856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BE6856">
        <w:rPr>
          <w:b/>
          <w:bCs/>
        </w:rPr>
        <w:t>Engineering:</w:t>
      </w:r>
      <w:r w:rsidRPr="00BE6856">
        <w:t xml:space="preserve"> $33.9M</w:t>
      </w:r>
    </w:p>
    <w:p w14:paraId="72F88BB4" w14:textId="77777777" w:rsidR="00BE6856" w:rsidRPr="00BE6856" w:rsidRDefault="00BE6856" w:rsidP="00BE6856">
      <w:pPr>
        <w:numPr>
          <w:ilvl w:val="0"/>
          <w:numId w:val="3"/>
        </w:numPr>
      </w:pPr>
      <w:r w:rsidRPr="00BE6856">
        <w:rPr>
          <w:rFonts w:ascii="Segoe UI Emoji" w:hAnsi="Segoe UI Emoji" w:cs="Segoe UI Emoji"/>
          <w:b/>
          <w:bCs/>
        </w:rPr>
        <w:t>⚠️</w:t>
      </w:r>
      <w:r w:rsidRPr="00BE6856">
        <w:rPr>
          <w:b/>
          <w:bCs/>
        </w:rPr>
        <w:t xml:space="preserve"> Interpreting Funding Rates – Sponsor Type Matters</w:t>
      </w:r>
      <w:r w:rsidRPr="00BE6856">
        <w:br/>
        <w:t xml:space="preserve">High funding rates often align with proposals submitted to </w:t>
      </w:r>
      <w:r w:rsidRPr="00BE6856">
        <w:rPr>
          <w:b/>
          <w:bCs/>
        </w:rPr>
        <w:t>state or internal sponsors</w:t>
      </w:r>
      <w:r w:rsidRPr="00BE6856">
        <w:t xml:space="preserve">, which are </w:t>
      </w:r>
      <w:r w:rsidRPr="00BE6856">
        <w:rPr>
          <w:b/>
          <w:bCs/>
        </w:rPr>
        <w:t>less competitive</w:t>
      </w:r>
      <w:r w:rsidRPr="00BE6856">
        <w:t xml:space="preserve"> and offer </w:t>
      </w:r>
      <w:r w:rsidRPr="00BE6856">
        <w:rPr>
          <w:b/>
          <w:bCs/>
        </w:rPr>
        <w:t>smaller awards</w:t>
      </w:r>
      <w:r w:rsidRPr="00BE6856">
        <w:t>:</w:t>
      </w:r>
    </w:p>
    <w:p w14:paraId="441473DF" w14:textId="3AF56D3F" w:rsidR="00BE6856" w:rsidRPr="00BE6856" w:rsidRDefault="00BE6856" w:rsidP="00BE6856">
      <w:pPr>
        <w:numPr>
          <w:ilvl w:val="0"/>
          <w:numId w:val="4"/>
        </w:numPr>
        <w:tabs>
          <w:tab w:val="num" w:pos="720"/>
        </w:tabs>
      </w:pPr>
      <w:r w:rsidRPr="00BE6856">
        <w:rPr>
          <w:b/>
          <w:bCs/>
        </w:rPr>
        <w:t>Business (88.5%)</w:t>
      </w:r>
      <w:r w:rsidRPr="00BE6856">
        <w:t xml:space="preserve"> – 54% from State</w:t>
      </w:r>
    </w:p>
    <w:p w14:paraId="5FAE1909" w14:textId="77777777" w:rsidR="00BE6856" w:rsidRPr="00BE6856" w:rsidRDefault="00BE6856" w:rsidP="00BE6856">
      <w:pPr>
        <w:numPr>
          <w:ilvl w:val="0"/>
          <w:numId w:val="4"/>
        </w:numPr>
        <w:tabs>
          <w:tab w:val="num" w:pos="720"/>
        </w:tabs>
      </w:pPr>
      <w:r w:rsidRPr="00BE6856">
        <w:rPr>
          <w:b/>
          <w:bCs/>
        </w:rPr>
        <w:t>Campus Operations (80%)</w:t>
      </w:r>
      <w:r w:rsidRPr="00BE6856">
        <w:t xml:space="preserve"> – 100% State-funded</w:t>
      </w:r>
    </w:p>
    <w:p w14:paraId="3503651B" w14:textId="77777777" w:rsidR="00BE6856" w:rsidRPr="00BE6856" w:rsidRDefault="00BE6856" w:rsidP="00BE6856">
      <w:pPr>
        <w:numPr>
          <w:ilvl w:val="0"/>
          <w:numId w:val="4"/>
        </w:numPr>
        <w:tabs>
          <w:tab w:val="num" w:pos="720"/>
        </w:tabs>
      </w:pPr>
      <w:r w:rsidRPr="00BE6856">
        <w:rPr>
          <w:b/>
          <w:bCs/>
        </w:rPr>
        <w:t>Education (62.5%)</w:t>
      </w:r>
      <w:r w:rsidRPr="00BE6856">
        <w:t xml:space="preserve"> – 60.5% State, 36% Federal</w:t>
      </w:r>
    </w:p>
    <w:p w14:paraId="6EFAEA8B" w14:textId="2A6898AE" w:rsidR="00BE6856" w:rsidRPr="00BE6856" w:rsidRDefault="00BE6856" w:rsidP="00BE6856">
      <w:pPr>
        <w:ind w:left="720"/>
      </w:pPr>
      <w:r w:rsidRPr="00BE6856">
        <w:t xml:space="preserve">In contrast, </w:t>
      </w:r>
      <w:r w:rsidRPr="00BE6856">
        <w:rPr>
          <w:b/>
          <w:bCs/>
        </w:rPr>
        <w:t>research-focused units</w:t>
      </w:r>
      <w:r w:rsidRPr="00BE6856">
        <w:t xml:space="preserve"> apply more to </w:t>
      </w:r>
      <w:r w:rsidRPr="00BE6856">
        <w:rPr>
          <w:b/>
          <w:bCs/>
        </w:rPr>
        <w:t>federal agencies</w:t>
      </w:r>
      <w:r w:rsidRPr="00BE6856">
        <w:t>, which are highly</w:t>
      </w:r>
      <w:r w:rsidRPr="00BE6856">
        <w:t xml:space="preserve"> competitive but yield larger funding amounts:</w:t>
      </w:r>
    </w:p>
    <w:p w14:paraId="2B04C29F" w14:textId="77777777" w:rsidR="00BE6856" w:rsidRPr="00BE6856" w:rsidRDefault="00BE6856" w:rsidP="00BE6856">
      <w:pPr>
        <w:numPr>
          <w:ilvl w:val="0"/>
          <w:numId w:val="5"/>
        </w:numPr>
        <w:tabs>
          <w:tab w:val="num" w:pos="720"/>
        </w:tabs>
      </w:pPr>
      <w:r w:rsidRPr="00BE6856">
        <w:rPr>
          <w:b/>
          <w:bCs/>
        </w:rPr>
        <w:t>Agriculture (45.7%)</w:t>
      </w:r>
      <w:r w:rsidRPr="00BE6856">
        <w:t xml:space="preserve"> – $41.2M Federal</w:t>
      </w:r>
    </w:p>
    <w:p w14:paraId="70AB056E" w14:textId="77777777" w:rsidR="00BE6856" w:rsidRPr="00BE6856" w:rsidRDefault="00BE6856" w:rsidP="00BE6856">
      <w:pPr>
        <w:numPr>
          <w:ilvl w:val="0"/>
          <w:numId w:val="5"/>
        </w:numPr>
        <w:tabs>
          <w:tab w:val="num" w:pos="720"/>
        </w:tabs>
      </w:pPr>
      <w:r w:rsidRPr="00BE6856">
        <w:rPr>
          <w:b/>
          <w:bCs/>
        </w:rPr>
        <w:t>Engineering (26.9%)</w:t>
      </w:r>
      <w:r w:rsidRPr="00BE6856">
        <w:t xml:space="preserve"> – $25.6M Federal</w:t>
      </w:r>
    </w:p>
    <w:p w14:paraId="6BFC4B96" w14:textId="77777777" w:rsidR="00BE6856" w:rsidRPr="00BE6856" w:rsidRDefault="00BE6856" w:rsidP="00BE6856">
      <w:pPr>
        <w:numPr>
          <w:ilvl w:val="0"/>
          <w:numId w:val="5"/>
        </w:numPr>
        <w:tabs>
          <w:tab w:val="num" w:pos="720"/>
        </w:tabs>
      </w:pPr>
      <w:r w:rsidRPr="00BE6856">
        <w:rPr>
          <w:b/>
          <w:bCs/>
        </w:rPr>
        <w:t>Research &amp; Economic Development (32.5%)</w:t>
      </w:r>
      <w:r w:rsidRPr="00BE6856">
        <w:t xml:space="preserve"> – $21.5M Federal</w:t>
      </w:r>
    </w:p>
    <w:p w14:paraId="3B592F6D" w14:textId="77777777" w:rsidR="00BE6856" w:rsidRDefault="00BE6856"/>
    <w:sectPr w:rsidR="00BE6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81AFE"/>
    <w:multiLevelType w:val="multilevel"/>
    <w:tmpl w:val="301A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71032"/>
    <w:multiLevelType w:val="multilevel"/>
    <w:tmpl w:val="E3CC95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66E22"/>
    <w:multiLevelType w:val="multilevel"/>
    <w:tmpl w:val="301A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1F3924"/>
    <w:multiLevelType w:val="multilevel"/>
    <w:tmpl w:val="8ECA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92FF2"/>
    <w:multiLevelType w:val="multilevel"/>
    <w:tmpl w:val="277E9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6A6B38"/>
    <w:multiLevelType w:val="multilevel"/>
    <w:tmpl w:val="301A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1576D4"/>
    <w:multiLevelType w:val="multilevel"/>
    <w:tmpl w:val="C79E97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907421378">
    <w:abstractNumId w:val="4"/>
  </w:num>
  <w:num w:numId="2" w16cid:durableId="1309162406">
    <w:abstractNumId w:val="3"/>
  </w:num>
  <w:num w:numId="3" w16cid:durableId="1496726797">
    <w:abstractNumId w:val="0"/>
  </w:num>
  <w:num w:numId="4" w16cid:durableId="267083502">
    <w:abstractNumId w:val="6"/>
  </w:num>
  <w:num w:numId="5" w16cid:durableId="1986008130">
    <w:abstractNumId w:val="1"/>
  </w:num>
  <w:num w:numId="6" w16cid:durableId="602298360">
    <w:abstractNumId w:val="5"/>
  </w:num>
  <w:num w:numId="7" w16cid:durableId="1418406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56"/>
    <w:rsid w:val="00777AAC"/>
    <w:rsid w:val="00BE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690A"/>
  <w15:chartTrackingRefBased/>
  <w15:docId w15:val="{28B1BF62-C899-4F35-BF13-6993E0D5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8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8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8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8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8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8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8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8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8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8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8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8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8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8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8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8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8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6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Hossain</dc:creator>
  <cp:keywords/>
  <dc:description/>
  <cp:lastModifiedBy>Ismail Hossain</cp:lastModifiedBy>
  <cp:revision>1</cp:revision>
  <dcterms:created xsi:type="dcterms:W3CDTF">2025-06-06T17:50:00Z</dcterms:created>
  <dcterms:modified xsi:type="dcterms:W3CDTF">2025-06-06T17:57:00Z</dcterms:modified>
</cp:coreProperties>
</file>