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F4547" w14:textId="77777777" w:rsidR="00E4199A" w:rsidRDefault="00DA452C">
      <w:pPr>
        <w:pStyle w:val="Title"/>
      </w:pPr>
      <w:r>
        <w:t>Quarterly Research Grant Performance Summary (FY24–FY25)</w:t>
      </w:r>
    </w:p>
    <w:p w14:paraId="03D1A56A" w14:textId="77777777" w:rsidR="00E4199A" w:rsidRDefault="00DA452C">
      <w:r>
        <w:t>⚠️ Important Note: When the funding rate (%) exceeds 100%, it means the number of grants awarded in that quarter includes awards for applications submitted in earlier quarters. This is a common reporting practice, but can appear confusing if not clarified.</w:t>
      </w:r>
    </w:p>
    <w:p w14:paraId="1CC38736" w14:textId="77777777" w:rsidR="00E4199A" w:rsidRDefault="00DA452C">
      <w:pPr>
        <w:pStyle w:val="Heading1"/>
      </w:pPr>
      <w:r>
        <w:t>Overall Institutional Totals (7 Quarters)</w:t>
      </w:r>
    </w:p>
    <w:p w14:paraId="1426E2D5" w14:textId="77777777" w:rsidR="00E4199A" w:rsidRDefault="00DA452C">
      <w:r>
        <w:t>• Total Applications Submitted: 1,419</w:t>
      </w:r>
    </w:p>
    <w:p w14:paraId="32D8D268" w14:textId="77777777" w:rsidR="00E4199A" w:rsidRDefault="00DA452C">
      <w:r>
        <w:t>• Total Grants Received: 622</w:t>
      </w:r>
    </w:p>
    <w:p w14:paraId="430CAF21" w14:textId="77777777" w:rsidR="00E4199A" w:rsidRDefault="00DA452C">
      <w:r>
        <w:t>• Overall Funding Rate: 43.83%</w:t>
      </w:r>
    </w:p>
    <w:p w14:paraId="58A76C8A" w14:textId="77777777" w:rsidR="00E4199A" w:rsidRDefault="00DA452C">
      <w:r>
        <w:t>• Total Amount Requested: $727.75M</w:t>
      </w:r>
    </w:p>
    <w:p w14:paraId="29FBC506" w14:textId="77777777" w:rsidR="00E4199A" w:rsidRDefault="00DA452C">
      <w:r>
        <w:t>• Total Amount Received: $232.27M</w:t>
      </w:r>
    </w:p>
    <w:p w14:paraId="3AC23752" w14:textId="77777777" w:rsidR="00E4199A" w:rsidRDefault="00DA452C">
      <w:pPr>
        <w:pStyle w:val="Heading1"/>
      </w:pPr>
      <w:r>
        <w:t>Key Observations by College/Division</w:t>
      </w:r>
    </w:p>
    <w:p w14:paraId="47D10AD9" w14:textId="77777777" w:rsidR="00E4199A" w:rsidRDefault="00DA452C">
      <w:pPr>
        <w:pStyle w:val="Heading2"/>
      </w:pPr>
      <w:r>
        <w:t>Top Submitters</w:t>
      </w:r>
    </w:p>
    <w:p w14:paraId="3999FA4E" w14:textId="77777777" w:rsidR="00E4199A" w:rsidRDefault="00DA452C">
      <w:r>
        <w:t>• Engineering: 428 applications, $184.04M requested</w:t>
      </w:r>
    </w:p>
    <w:p w14:paraId="63244326" w14:textId="77777777" w:rsidR="00E4199A" w:rsidRDefault="00DA452C">
      <w:r>
        <w:t>• Agriculture: 431 applications, $173.62M requested</w:t>
      </w:r>
    </w:p>
    <w:p w14:paraId="0130E738" w14:textId="77777777" w:rsidR="00E4199A" w:rsidRDefault="00DA452C">
      <w:r>
        <w:t>• REED: 159 applications, $82.33M requested</w:t>
      </w:r>
    </w:p>
    <w:p w14:paraId="4C22FDB9" w14:textId="77777777" w:rsidR="00E4199A" w:rsidRDefault="00DA452C">
      <w:pPr>
        <w:pStyle w:val="Heading2"/>
      </w:pPr>
      <w:r>
        <w:t>Highest Award Counts</w:t>
      </w:r>
    </w:p>
    <w:p w14:paraId="756C8CC1" w14:textId="77777777" w:rsidR="00E4199A" w:rsidRDefault="00DA452C">
      <w:r>
        <w:t>• Agriculture: 197 grants received</w:t>
      </w:r>
    </w:p>
    <w:p w14:paraId="6060B8A7" w14:textId="77777777" w:rsidR="00E4199A" w:rsidRDefault="00DA452C">
      <w:r>
        <w:t>• Engineering: 115</w:t>
      </w:r>
    </w:p>
    <w:p w14:paraId="7998D846" w14:textId="77777777" w:rsidR="00E4199A" w:rsidRDefault="00DA452C">
      <w:r>
        <w:t>• REED: 97</w:t>
      </w:r>
    </w:p>
    <w:p w14:paraId="77ADEE10" w14:textId="77777777" w:rsidR="00E4199A" w:rsidRDefault="00DA452C">
      <w:pPr>
        <w:pStyle w:val="Heading2"/>
      </w:pPr>
      <w:r>
        <w:t>Highest Funding Received</w:t>
      </w:r>
    </w:p>
    <w:p w14:paraId="6692C6BC" w14:textId="77777777" w:rsidR="00E4199A" w:rsidRDefault="00DA452C">
      <w:r>
        <w:t>• Agriculture: $53.82M</w:t>
      </w:r>
    </w:p>
    <w:p w14:paraId="27DEFBEE" w14:textId="77777777" w:rsidR="00E4199A" w:rsidRDefault="00DA452C">
      <w:r>
        <w:t>• REED: $48.52M</w:t>
      </w:r>
    </w:p>
    <w:p w14:paraId="3073A6F0" w14:textId="77777777" w:rsidR="00E4199A" w:rsidRDefault="00DA452C">
      <w:r>
        <w:t>• Engineering: $33.97M</w:t>
      </w:r>
    </w:p>
    <w:p w14:paraId="5FD817FB" w14:textId="77777777" w:rsidR="00E4199A" w:rsidRDefault="00DA452C">
      <w:pPr>
        <w:pStyle w:val="Heading1"/>
      </w:pPr>
      <w:r>
        <w:lastRenderedPageBreak/>
        <w:t>Success Stories</w:t>
      </w:r>
    </w:p>
    <w:p w14:paraId="001CED60" w14:textId="77777777" w:rsidR="00E4199A" w:rsidRDefault="00DA452C">
      <w:r>
        <w:t>• Business achieved an 88.46% funding rate with 23 out of 26 applications funded—remarkably efficient.</w:t>
      </w:r>
    </w:p>
    <w:p w14:paraId="70CB32A5" w14:textId="77777777" w:rsidR="00E4199A" w:rsidRDefault="00DA452C">
      <w:r>
        <w:t>• Campus Operations had an 80% success rate with relatively small volume (8 out of 10 funded).</w:t>
      </w:r>
    </w:p>
    <w:p w14:paraId="3E62DBAE" w14:textId="77777777" w:rsidR="00E4199A" w:rsidRDefault="00DA452C">
      <w:r>
        <w:t>• REED maintained a strong 61.01% success rate across a large portfolio of proposals.</w:t>
      </w:r>
    </w:p>
    <w:p w14:paraId="71926E1C" w14:textId="77777777" w:rsidR="00E4199A" w:rsidRDefault="00DA452C">
      <w:pPr>
        <w:pStyle w:val="Heading1"/>
      </w:pPr>
      <w:r>
        <w:t>Needs Attention</w:t>
      </w:r>
    </w:p>
    <w:p w14:paraId="19972874" w14:textId="77777777" w:rsidR="00E4199A" w:rsidRDefault="00DA452C">
      <w:r>
        <w:t>• Engineering, despite being the highest submitter, had a low 26.87% success rate, suggesting potential issues with proposal alignment or competitiveness.</w:t>
      </w:r>
    </w:p>
    <w:p w14:paraId="56F79C6B" w14:textId="77777777" w:rsidR="00E4199A" w:rsidRDefault="00DA452C">
      <w:r>
        <w:t>• Health Sciences submitted 106 applications but received only 34 grants (32.08% success).</w:t>
      </w:r>
    </w:p>
    <w:p w14:paraId="74388A23" w14:textId="77777777" w:rsidR="00E4199A" w:rsidRDefault="00DA452C">
      <w:r>
        <w:t>• Student Affairs submitted 1 proposal and received 0 funding.</w:t>
      </w:r>
    </w:p>
    <w:p w14:paraId="381855AE" w14:textId="77777777" w:rsidR="00E4199A" w:rsidRDefault="00DA452C">
      <w:pPr>
        <w:pStyle w:val="Heading1"/>
      </w:pPr>
      <w:r>
        <w:t>Quarterly Trends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E4199A" w14:paraId="1240F33F" w14:textId="77777777">
        <w:tc>
          <w:tcPr>
            <w:tcW w:w="1440" w:type="dxa"/>
          </w:tcPr>
          <w:p w14:paraId="189BBC85" w14:textId="77777777" w:rsidR="00E4199A" w:rsidRDefault="00DA452C">
            <w:r>
              <w:t>Quarter</w:t>
            </w:r>
          </w:p>
        </w:tc>
        <w:tc>
          <w:tcPr>
            <w:tcW w:w="1440" w:type="dxa"/>
          </w:tcPr>
          <w:p w14:paraId="299BF8A9" w14:textId="77777777" w:rsidR="00E4199A" w:rsidRDefault="00DA452C">
            <w:r>
              <w:t>Apps Submitted</w:t>
            </w:r>
          </w:p>
        </w:tc>
        <w:tc>
          <w:tcPr>
            <w:tcW w:w="1440" w:type="dxa"/>
          </w:tcPr>
          <w:p w14:paraId="5F9F23AA" w14:textId="77777777" w:rsidR="00E4199A" w:rsidRDefault="00DA452C">
            <w:r>
              <w:t>Grants Received</w:t>
            </w:r>
          </w:p>
        </w:tc>
        <w:tc>
          <w:tcPr>
            <w:tcW w:w="1440" w:type="dxa"/>
          </w:tcPr>
          <w:p w14:paraId="77281A67" w14:textId="77777777" w:rsidR="00E4199A" w:rsidRDefault="00DA452C">
            <w:r>
              <w:t>Funding Rate</w:t>
            </w:r>
          </w:p>
        </w:tc>
        <w:tc>
          <w:tcPr>
            <w:tcW w:w="1440" w:type="dxa"/>
          </w:tcPr>
          <w:p w14:paraId="5889E5F7" w14:textId="77777777" w:rsidR="00E4199A" w:rsidRDefault="00DA452C">
            <w:r>
              <w:t>Amount Requested</w:t>
            </w:r>
          </w:p>
        </w:tc>
        <w:tc>
          <w:tcPr>
            <w:tcW w:w="1440" w:type="dxa"/>
          </w:tcPr>
          <w:p w14:paraId="3D481B02" w14:textId="77777777" w:rsidR="00E4199A" w:rsidRDefault="00DA452C">
            <w:r>
              <w:t>Amount Received</w:t>
            </w:r>
          </w:p>
        </w:tc>
      </w:tr>
      <w:tr w:rsidR="00E4199A" w14:paraId="4FA900A1" w14:textId="77777777">
        <w:tc>
          <w:tcPr>
            <w:tcW w:w="1440" w:type="dxa"/>
          </w:tcPr>
          <w:p w14:paraId="60C0715B" w14:textId="77777777" w:rsidR="00E4199A" w:rsidRDefault="00DA452C">
            <w:r>
              <w:t>Q1 FY2024</w:t>
            </w:r>
          </w:p>
        </w:tc>
        <w:tc>
          <w:tcPr>
            <w:tcW w:w="1440" w:type="dxa"/>
          </w:tcPr>
          <w:p w14:paraId="51C9961C" w14:textId="77777777" w:rsidR="00E4199A" w:rsidRDefault="00DA452C">
            <w:r>
              <w:t>266</w:t>
            </w:r>
          </w:p>
        </w:tc>
        <w:tc>
          <w:tcPr>
            <w:tcW w:w="1440" w:type="dxa"/>
          </w:tcPr>
          <w:p w14:paraId="3D909926" w14:textId="77777777" w:rsidR="00E4199A" w:rsidRDefault="00DA452C">
            <w:r>
              <w:t>136</w:t>
            </w:r>
          </w:p>
        </w:tc>
        <w:tc>
          <w:tcPr>
            <w:tcW w:w="1440" w:type="dxa"/>
          </w:tcPr>
          <w:p w14:paraId="6F500CA3" w14:textId="77777777" w:rsidR="00E4199A" w:rsidRDefault="00DA452C">
            <w:r>
              <w:t>51.13%</w:t>
            </w:r>
          </w:p>
        </w:tc>
        <w:tc>
          <w:tcPr>
            <w:tcW w:w="1440" w:type="dxa"/>
          </w:tcPr>
          <w:p w14:paraId="6D01AE24" w14:textId="77777777" w:rsidR="00E4199A" w:rsidRDefault="00DA452C">
            <w:r>
              <w:t>$126.67M</w:t>
            </w:r>
          </w:p>
        </w:tc>
        <w:tc>
          <w:tcPr>
            <w:tcW w:w="1440" w:type="dxa"/>
          </w:tcPr>
          <w:p w14:paraId="74828EB1" w14:textId="77777777" w:rsidR="00E4199A" w:rsidRDefault="00DA452C">
            <w:r>
              <w:t>$42.93M</w:t>
            </w:r>
          </w:p>
        </w:tc>
      </w:tr>
      <w:tr w:rsidR="00E4199A" w14:paraId="646BAB9E" w14:textId="77777777">
        <w:tc>
          <w:tcPr>
            <w:tcW w:w="1440" w:type="dxa"/>
          </w:tcPr>
          <w:p w14:paraId="218A02B9" w14:textId="77777777" w:rsidR="00E4199A" w:rsidRDefault="00DA452C">
            <w:r>
              <w:t>Q1 FY2025</w:t>
            </w:r>
          </w:p>
        </w:tc>
        <w:tc>
          <w:tcPr>
            <w:tcW w:w="1440" w:type="dxa"/>
          </w:tcPr>
          <w:p w14:paraId="46972BB4" w14:textId="77777777" w:rsidR="00E4199A" w:rsidRDefault="00DA452C">
            <w:r>
              <w:t>137</w:t>
            </w:r>
          </w:p>
        </w:tc>
        <w:tc>
          <w:tcPr>
            <w:tcW w:w="1440" w:type="dxa"/>
          </w:tcPr>
          <w:p w14:paraId="30747095" w14:textId="77777777" w:rsidR="00E4199A" w:rsidRDefault="00DA452C">
            <w:r>
              <w:t>155</w:t>
            </w:r>
          </w:p>
        </w:tc>
        <w:tc>
          <w:tcPr>
            <w:tcW w:w="1440" w:type="dxa"/>
          </w:tcPr>
          <w:p w14:paraId="7E0FD5F2" w14:textId="77777777" w:rsidR="00E4199A" w:rsidRDefault="00DA452C">
            <w:r>
              <w:t>113.14%</w:t>
            </w:r>
          </w:p>
        </w:tc>
        <w:tc>
          <w:tcPr>
            <w:tcW w:w="1440" w:type="dxa"/>
          </w:tcPr>
          <w:p w14:paraId="408FB29B" w14:textId="77777777" w:rsidR="00E4199A" w:rsidRDefault="00DA452C">
            <w:r>
              <w:t>$61.49M</w:t>
            </w:r>
          </w:p>
        </w:tc>
        <w:tc>
          <w:tcPr>
            <w:tcW w:w="1440" w:type="dxa"/>
          </w:tcPr>
          <w:p w14:paraId="63C3AA5D" w14:textId="77777777" w:rsidR="00E4199A" w:rsidRDefault="00DA452C">
            <w:r>
              <w:t>$96.62M</w:t>
            </w:r>
          </w:p>
        </w:tc>
      </w:tr>
      <w:tr w:rsidR="00E4199A" w14:paraId="69FE6FB2" w14:textId="77777777">
        <w:tc>
          <w:tcPr>
            <w:tcW w:w="1440" w:type="dxa"/>
          </w:tcPr>
          <w:p w14:paraId="11A3B394" w14:textId="77777777" w:rsidR="00E4199A" w:rsidRDefault="00DA452C">
            <w:r>
              <w:t>Q2 FY2024</w:t>
            </w:r>
          </w:p>
        </w:tc>
        <w:tc>
          <w:tcPr>
            <w:tcW w:w="1440" w:type="dxa"/>
          </w:tcPr>
          <w:p w14:paraId="502CECD0" w14:textId="77777777" w:rsidR="00E4199A" w:rsidRDefault="00DA452C">
            <w:r>
              <w:t>172</w:t>
            </w:r>
          </w:p>
        </w:tc>
        <w:tc>
          <w:tcPr>
            <w:tcW w:w="1440" w:type="dxa"/>
          </w:tcPr>
          <w:p w14:paraId="6685BC4E" w14:textId="77777777" w:rsidR="00E4199A" w:rsidRDefault="00DA452C">
            <w:r>
              <w:t>67</w:t>
            </w:r>
          </w:p>
        </w:tc>
        <w:tc>
          <w:tcPr>
            <w:tcW w:w="1440" w:type="dxa"/>
          </w:tcPr>
          <w:p w14:paraId="3395E6E3" w14:textId="77777777" w:rsidR="00E4199A" w:rsidRDefault="00DA452C">
            <w:r>
              <w:t>38.95%</w:t>
            </w:r>
          </w:p>
        </w:tc>
        <w:tc>
          <w:tcPr>
            <w:tcW w:w="1440" w:type="dxa"/>
          </w:tcPr>
          <w:p w14:paraId="18C7512F" w14:textId="77777777" w:rsidR="00E4199A" w:rsidRDefault="00DA452C">
            <w:r>
              <w:t>$92.21M</w:t>
            </w:r>
          </w:p>
        </w:tc>
        <w:tc>
          <w:tcPr>
            <w:tcW w:w="1440" w:type="dxa"/>
          </w:tcPr>
          <w:p w14:paraId="31822CD3" w14:textId="77777777" w:rsidR="00E4199A" w:rsidRDefault="00DA452C">
            <w:r>
              <w:t>$23.10M</w:t>
            </w:r>
          </w:p>
        </w:tc>
      </w:tr>
      <w:tr w:rsidR="00E4199A" w14:paraId="3AD76E47" w14:textId="77777777">
        <w:tc>
          <w:tcPr>
            <w:tcW w:w="1440" w:type="dxa"/>
          </w:tcPr>
          <w:p w14:paraId="610FDFB8" w14:textId="77777777" w:rsidR="00E4199A" w:rsidRDefault="00DA452C">
            <w:r>
              <w:t>Q2 FY2025</w:t>
            </w:r>
          </w:p>
        </w:tc>
        <w:tc>
          <w:tcPr>
            <w:tcW w:w="1440" w:type="dxa"/>
          </w:tcPr>
          <w:p w14:paraId="390690CD" w14:textId="77777777" w:rsidR="00E4199A" w:rsidRDefault="00DA452C">
            <w:r>
              <w:t>146</w:t>
            </w:r>
          </w:p>
        </w:tc>
        <w:tc>
          <w:tcPr>
            <w:tcW w:w="1440" w:type="dxa"/>
          </w:tcPr>
          <w:p w14:paraId="4BEDE515" w14:textId="77777777" w:rsidR="00E4199A" w:rsidRDefault="00DA452C">
            <w:r>
              <w:t>68</w:t>
            </w:r>
          </w:p>
        </w:tc>
        <w:tc>
          <w:tcPr>
            <w:tcW w:w="1440" w:type="dxa"/>
          </w:tcPr>
          <w:p w14:paraId="007A43F4" w14:textId="77777777" w:rsidR="00E4199A" w:rsidRDefault="00DA452C">
            <w:r>
              <w:t>46.58%</w:t>
            </w:r>
          </w:p>
        </w:tc>
        <w:tc>
          <w:tcPr>
            <w:tcW w:w="1440" w:type="dxa"/>
          </w:tcPr>
          <w:p w14:paraId="6D8D9BA3" w14:textId="77777777" w:rsidR="00E4199A" w:rsidRDefault="00DA452C">
            <w:r>
              <w:t>$97.51M</w:t>
            </w:r>
          </w:p>
        </w:tc>
        <w:tc>
          <w:tcPr>
            <w:tcW w:w="1440" w:type="dxa"/>
          </w:tcPr>
          <w:p w14:paraId="6C98BEAA" w14:textId="77777777" w:rsidR="00E4199A" w:rsidRDefault="00DA452C">
            <w:r>
              <w:t>$13.63M</w:t>
            </w:r>
          </w:p>
        </w:tc>
      </w:tr>
      <w:tr w:rsidR="00E4199A" w14:paraId="64FD9BA0" w14:textId="77777777">
        <w:tc>
          <w:tcPr>
            <w:tcW w:w="1440" w:type="dxa"/>
          </w:tcPr>
          <w:p w14:paraId="75AE70A2" w14:textId="77777777" w:rsidR="00E4199A" w:rsidRDefault="00DA452C">
            <w:r>
              <w:t>Q3 FY2024</w:t>
            </w:r>
          </w:p>
        </w:tc>
        <w:tc>
          <w:tcPr>
            <w:tcW w:w="1440" w:type="dxa"/>
          </w:tcPr>
          <w:p w14:paraId="4023E4B2" w14:textId="77777777" w:rsidR="00E4199A" w:rsidRDefault="00DA452C">
            <w:r>
              <w:t>318</w:t>
            </w:r>
          </w:p>
        </w:tc>
        <w:tc>
          <w:tcPr>
            <w:tcW w:w="1440" w:type="dxa"/>
          </w:tcPr>
          <w:p w14:paraId="3C096598" w14:textId="77777777" w:rsidR="00E4199A" w:rsidRDefault="00DA452C">
            <w:r>
              <w:t>77</w:t>
            </w:r>
          </w:p>
        </w:tc>
        <w:tc>
          <w:tcPr>
            <w:tcW w:w="1440" w:type="dxa"/>
          </w:tcPr>
          <w:p w14:paraId="4F8B4565" w14:textId="77777777" w:rsidR="00E4199A" w:rsidRDefault="00DA452C">
            <w:r>
              <w:t>24.21%</w:t>
            </w:r>
          </w:p>
        </w:tc>
        <w:tc>
          <w:tcPr>
            <w:tcW w:w="1440" w:type="dxa"/>
          </w:tcPr>
          <w:p w14:paraId="2CF210FB" w14:textId="77777777" w:rsidR="00E4199A" w:rsidRDefault="00DA452C">
            <w:r>
              <w:t>$125.93M</w:t>
            </w:r>
          </w:p>
        </w:tc>
        <w:tc>
          <w:tcPr>
            <w:tcW w:w="1440" w:type="dxa"/>
          </w:tcPr>
          <w:p w14:paraId="5D822621" w14:textId="77777777" w:rsidR="00E4199A" w:rsidRDefault="00DA452C">
            <w:r>
              <w:t>$18.09M</w:t>
            </w:r>
          </w:p>
        </w:tc>
      </w:tr>
      <w:tr w:rsidR="00E4199A" w14:paraId="534F4552" w14:textId="77777777">
        <w:tc>
          <w:tcPr>
            <w:tcW w:w="1440" w:type="dxa"/>
          </w:tcPr>
          <w:p w14:paraId="70482895" w14:textId="77777777" w:rsidR="00E4199A" w:rsidRDefault="00DA452C">
            <w:r>
              <w:t>Q3 FY2025</w:t>
            </w:r>
          </w:p>
        </w:tc>
        <w:tc>
          <w:tcPr>
            <w:tcW w:w="1440" w:type="dxa"/>
          </w:tcPr>
          <w:p w14:paraId="1B49C5B5" w14:textId="77777777" w:rsidR="00E4199A" w:rsidRDefault="00DA452C">
            <w:r>
              <w:t>213</w:t>
            </w:r>
          </w:p>
        </w:tc>
        <w:tc>
          <w:tcPr>
            <w:tcW w:w="1440" w:type="dxa"/>
          </w:tcPr>
          <w:p w14:paraId="783261AE" w14:textId="77777777" w:rsidR="00E4199A" w:rsidRDefault="00DA452C">
            <w:r>
              <w:t>43</w:t>
            </w:r>
          </w:p>
        </w:tc>
        <w:tc>
          <w:tcPr>
            <w:tcW w:w="1440" w:type="dxa"/>
          </w:tcPr>
          <w:p w14:paraId="3FDA4181" w14:textId="77777777" w:rsidR="00E4199A" w:rsidRDefault="00DA452C">
            <w:r>
              <w:t>20.19%</w:t>
            </w:r>
          </w:p>
        </w:tc>
        <w:tc>
          <w:tcPr>
            <w:tcW w:w="1440" w:type="dxa"/>
          </w:tcPr>
          <w:p w14:paraId="330FBDEB" w14:textId="77777777" w:rsidR="00E4199A" w:rsidRDefault="00DA452C">
            <w:r>
              <w:t>$112.90M</w:t>
            </w:r>
          </w:p>
        </w:tc>
        <w:tc>
          <w:tcPr>
            <w:tcW w:w="1440" w:type="dxa"/>
          </w:tcPr>
          <w:p w14:paraId="7DF5A1DB" w14:textId="77777777" w:rsidR="00E4199A" w:rsidRDefault="00DA452C">
            <w:r>
              <w:t>$12.24M</w:t>
            </w:r>
          </w:p>
        </w:tc>
      </w:tr>
      <w:tr w:rsidR="00E4199A" w14:paraId="4E9D743F" w14:textId="77777777">
        <w:tc>
          <w:tcPr>
            <w:tcW w:w="1440" w:type="dxa"/>
          </w:tcPr>
          <w:p w14:paraId="232330E2" w14:textId="77777777" w:rsidR="00E4199A" w:rsidRDefault="00DA452C">
            <w:r>
              <w:t>Q4 FY2024</w:t>
            </w:r>
          </w:p>
        </w:tc>
        <w:tc>
          <w:tcPr>
            <w:tcW w:w="1440" w:type="dxa"/>
          </w:tcPr>
          <w:p w14:paraId="18171CA1" w14:textId="77777777" w:rsidR="00E4199A" w:rsidRDefault="00DA452C">
            <w:r>
              <w:t>167</w:t>
            </w:r>
          </w:p>
        </w:tc>
        <w:tc>
          <w:tcPr>
            <w:tcW w:w="1440" w:type="dxa"/>
          </w:tcPr>
          <w:p w14:paraId="49B20DC0" w14:textId="77777777" w:rsidR="00E4199A" w:rsidRDefault="00DA452C">
            <w:r>
              <w:t>76</w:t>
            </w:r>
          </w:p>
        </w:tc>
        <w:tc>
          <w:tcPr>
            <w:tcW w:w="1440" w:type="dxa"/>
          </w:tcPr>
          <w:p w14:paraId="4EC6609B" w14:textId="77777777" w:rsidR="00E4199A" w:rsidRDefault="00DA452C">
            <w:r>
              <w:t>45.51%</w:t>
            </w:r>
          </w:p>
        </w:tc>
        <w:tc>
          <w:tcPr>
            <w:tcW w:w="1440" w:type="dxa"/>
          </w:tcPr>
          <w:p w14:paraId="2B74FCB1" w14:textId="77777777" w:rsidR="00E4199A" w:rsidRDefault="00DA452C">
            <w:r>
              <w:t>$111.04M</w:t>
            </w:r>
          </w:p>
        </w:tc>
        <w:tc>
          <w:tcPr>
            <w:tcW w:w="1440" w:type="dxa"/>
          </w:tcPr>
          <w:p w14:paraId="420ED8BC" w14:textId="77777777" w:rsidR="00E4199A" w:rsidRDefault="00DA452C">
            <w:r>
              <w:t>$25.66M</w:t>
            </w:r>
          </w:p>
        </w:tc>
      </w:tr>
    </w:tbl>
    <w:p w14:paraId="483FFE7C" w14:textId="77777777" w:rsidR="00DA452C" w:rsidRDefault="00DA452C"/>
    <w:p w14:paraId="6AF99159" w14:textId="77777777" w:rsidR="00DA452C" w:rsidRDefault="00DA452C"/>
    <w:sectPr w:rsidR="00DA45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1886482">
    <w:abstractNumId w:val="8"/>
  </w:num>
  <w:num w:numId="2" w16cid:durableId="1663660126">
    <w:abstractNumId w:val="6"/>
  </w:num>
  <w:num w:numId="3" w16cid:durableId="1178546208">
    <w:abstractNumId w:val="5"/>
  </w:num>
  <w:num w:numId="4" w16cid:durableId="421531491">
    <w:abstractNumId w:val="4"/>
  </w:num>
  <w:num w:numId="5" w16cid:durableId="1968470510">
    <w:abstractNumId w:val="7"/>
  </w:num>
  <w:num w:numId="6" w16cid:durableId="2132043840">
    <w:abstractNumId w:val="3"/>
  </w:num>
  <w:num w:numId="7" w16cid:durableId="1835299144">
    <w:abstractNumId w:val="2"/>
  </w:num>
  <w:num w:numId="8" w16cid:durableId="1608002963">
    <w:abstractNumId w:val="1"/>
  </w:num>
  <w:num w:numId="9" w16cid:durableId="103273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1E4"/>
    <w:rsid w:val="00034616"/>
    <w:rsid w:val="0006063C"/>
    <w:rsid w:val="0015074B"/>
    <w:rsid w:val="00154034"/>
    <w:rsid w:val="0029639D"/>
    <w:rsid w:val="00326F90"/>
    <w:rsid w:val="00AA1D8D"/>
    <w:rsid w:val="00B47730"/>
    <w:rsid w:val="00B65954"/>
    <w:rsid w:val="00CB0664"/>
    <w:rsid w:val="00DA452C"/>
    <w:rsid w:val="00E419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B29C52A-62FC-41E8-BEB7-526F3FC8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Ismail Hossain</cp:lastModifiedBy>
  <cp:revision>3</cp:revision>
  <dcterms:created xsi:type="dcterms:W3CDTF">2013-12-23T23:15:00Z</dcterms:created>
  <dcterms:modified xsi:type="dcterms:W3CDTF">2025-05-29T23:59:00Z</dcterms:modified>
  <cp:category/>
</cp:coreProperties>
</file>