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2668" w14:textId="77777777" w:rsidR="00D328C1" w:rsidRDefault="00D328C1"/>
    <w:p w14:paraId="3BEBC3FF" w14:textId="77777777" w:rsidR="009B37E9" w:rsidRDefault="009B37E9"/>
    <w:p w14:paraId="4EE19599" w14:textId="77777777" w:rsidR="009B37E9" w:rsidRPr="009B37E9" w:rsidRDefault="009B37E9" w:rsidP="009B37E9">
      <w:pPr>
        <w:rPr>
          <w:b/>
          <w:bCs/>
        </w:rPr>
      </w:pPr>
      <w:r w:rsidRPr="009B37E9">
        <w:rPr>
          <w:b/>
          <w:bCs/>
        </w:rPr>
        <w:t>Why the Updated Count is More Accurate:</w:t>
      </w:r>
    </w:p>
    <w:p w14:paraId="3F34F65C" w14:textId="77777777" w:rsidR="009B37E9" w:rsidRPr="009B37E9" w:rsidRDefault="009B37E9" w:rsidP="009B37E9">
      <w:pPr>
        <w:numPr>
          <w:ilvl w:val="0"/>
          <w:numId w:val="14"/>
        </w:numPr>
      </w:pPr>
      <w:r w:rsidRPr="009B37E9">
        <w:t>It removes duplicate award entries caused by unnecessary modification types.</w:t>
      </w:r>
    </w:p>
    <w:p w14:paraId="6DDBF0D9" w14:textId="77777777" w:rsidR="009B37E9" w:rsidRDefault="009B37E9" w:rsidP="009B37E9">
      <w:pPr>
        <w:numPr>
          <w:ilvl w:val="0"/>
          <w:numId w:val="14"/>
        </w:numPr>
      </w:pPr>
      <w:r w:rsidRPr="009B37E9">
        <w:t xml:space="preserve">It reports the </w:t>
      </w:r>
      <w:r w:rsidRPr="009B37E9">
        <w:rPr>
          <w:b/>
          <w:bCs/>
        </w:rPr>
        <w:t>correct incremental obligated amounts</w:t>
      </w:r>
      <w:r w:rsidRPr="009B37E9">
        <w:t>, rather than the previously reported cumulative sums, which misrepresented the actual values.</w:t>
      </w:r>
    </w:p>
    <w:p w14:paraId="08415804" w14:textId="77777777" w:rsidR="009B37E9" w:rsidRDefault="009B37E9" w:rsidP="009B37E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2070"/>
        <w:gridCol w:w="2070"/>
        <w:gridCol w:w="1980"/>
        <w:gridCol w:w="1980"/>
      </w:tblGrid>
      <w:tr w:rsidR="009B37E9" w14:paraId="54406292" w14:textId="77777777" w:rsidTr="007A2E46">
        <w:tc>
          <w:tcPr>
            <w:tcW w:w="1255" w:type="dxa"/>
          </w:tcPr>
          <w:p w14:paraId="2E4D0A6C" w14:textId="77777777" w:rsidR="009B37E9" w:rsidRDefault="009B37E9" w:rsidP="007A2E46">
            <w:pPr>
              <w:rPr>
                <w:b/>
                <w:bCs/>
              </w:rPr>
            </w:pPr>
          </w:p>
          <w:p w14:paraId="5C959BC9" w14:textId="77777777" w:rsidR="009B37E9" w:rsidRPr="003D6943" w:rsidRDefault="009B37E9" w:rsidP="007A2E46">
            <w:pPr>
              <w:rPr>
                <w:b/>
                <w:bCs/>
              </w:rPr>
            </w:pPr>
          </w:p>
        </w:tc>
        <w:tc>
          <w:tcPr>
            <w:tcW w:w="2070" w:type="dxa"/>
          </w:tcPr>
          <w:p w14:paraId="728663F4" w14:textId="77777777" w:rsidR="009B37E9" w:rsidRPr="003D6943" w:rsidRDefault="009B37E9" w:rsidP="007A2E46">
            <w:pPr>
              <w:rPr>
                <w:b/>
                <w:bCs/>
              </w:rPr>
            </w:pPr>
            <w:r w:rsidRPr="003D6943">
              <w:rPr>
                <w:b/>
                <w:bCs/>
              </w:rPr>
              <w:t xml:space="preserve">Proposal </w:t>
            </w:r>
            <w:r>
              <w:rPr>
                <w:b/>
                <w:bCs/>
              </w:rPr>
              <w:t>Count (Ismail)</w:t>
            </w:r>
          </w:p>
        </w:tc>
        <w:tc>
          <w:tcPr>
            <w:tcW w:w="2070" w:type="dxa"/>
          </w:tcPr>
          <w:p w14:paraId="28B58419" w14:textId="77777777" w:rsidR="009B37E9" w:rsidRPr="003D6943" w:rsidRDefault="009B37E9" w:rsidP="007A2E46">
            <w:pPr>
              <w:rPr>
                <w:b/>
                <w:bCs/>
              </w:rPr>
            </w:pPr>
            <w:r w:rsidRPr="003D6943">
              <w:rPr>
                <w:b/>
                <w:bCs/>
              </w:rPr>
              <w:t xml:space="preserve">Award </w:t>
            </w:r>
            <w:r>
              <w:rPr>
                <w:b/>
                <w:bCs/>
              </w:rPr>
              <w:t xml:space="preserve">Count </w:t>
            </w:r>
            <w:r>
              <w:rPr>
                <w:b/>
                <w:bCs/>
              </w:rPr>
              <w:br/>
              <w:t>(Ismail)</w:t>
            </w:r>
          </w:p>
        </w:tc>
        <w:tc>
          <w:tcPr>
            <w:tcW w:w="1980" w:type="dxa"/>
          </w:tcPr>
          <w:p w14:paraId="569981AE" w14:textId="77777777" w:rsidR="009B37E9" w:rsidRPr="003D6943" w:rsidRDefault="009B37E9" w:rsidP="007A2E46">
            <w:pPr>
              <w:rPr>
                <w:b/>
                <w:bCs/>
              </w:rPr>
            </w:pPr>
            <w:r w:rsidRPr="003D6943">
              <w:rPr>
                <w:b/>
                <w:bCs/>
              </w:rPr>
              <w:t xml:space="preserve">Old Proposal </w:t>
            </w:r>
            <w:r>
              <w:rPr>
                <w:b/>
                <w:bCs/>
              </w:rPr>
              <w:t>Count (Ashlee)</w:t>
            </w:r>
          </w:p>
        </w:tc>
        <w:tc>
          <w:tcPr>
            <w:tcW w:w="1980" w:type="dxa"/>
          </w:tcPr>
          <w:p w14:paraId="5A10DECE" w14:textId="77777777" w:rsidR="009B37E9" w:rsidRPr="003D6943" w:rsidRDefault="009B37E9" w:rsidP="007A2E46">
            <w:pPr>
              <w:rPr>
                <w:b/>
                <w:bCs/>
              </w:rPr>
            </w:pPr>
            <w:r w:rsidRPr="003D6943">
              <w:rPr>
                <w:b/>
                <w:bCs/>
              </w:rPr>
              <w:t xml:space="preserve">Old Award </w:t>
            </w:r>
            <w:r>
              <w:rPr>
                <w:b/>
                <w:bCs/>
              </w:rPr>
              <w:t>Count (Ashlee)</w:t>
            </w:r>
          </w:p>
        </w:tc>
      </w:tr>
      <w:tr w:rsidR="009B37E9" w14:paraId="6A97CFF1" w14:textId="77777777" w:rsidTr="007A2E46">
        <w:tc>
          <w:tcPr>
            <w:tcW w:w="1255" w:type="dxa"/>
          </w:tcPr>
          <w:p w14:paraId="45125DCB" w14:textId="77777777" w:rsidR="009B37E9" w:rsidRDefault="009B37E9" w:rsidP="007A2E46">
            <w:r>
              <w:t>July-2024</w:t>
            </w:r>
          </w:p>
        </w:tc>
        <w:tc>
          <w:tcPr>
            <w:tcW w:w="2070" w:type="dxa"/>
          </w:tcPr>
          <w:p w14:paraId="6CA51E05" w14:textId="77777777" w:rsidR="009B37E9" w:rsidRDefault="009B37E9" w:rsidP="007A2E46">
            <w:r>
              <w:t>73</w:t>
            </w:r>
          </w:p>
        </w:tc>
        <w:tc>
          <w:tcPr>
            <w:tcW w:w="2070" w:type="dxa"/>
          </w:tcPr>
          <w:p w14:paraId="157D8787" w14:textId="77777777" w:rsidR="009B37E9" w:rsidRDefault="009B37E9" w:rsidP="007A2E46">
            <w:r w:rsidRPr="00E443E5">
              <w:rPr>
                <w:color w:val="47D459" w:themeColor="accent3" w:themeTint="99"/>
              </w:rPr>
              <w:t>111</w:t>
            </w:r>
            <w:r>
              <w:t xml:space="preserve"> (26 New Added)</w:t>
            </w:r>
          </w:p>
          <w:p w14:paraId="0BC4F421" w14:textId="77777777" w:rsidR="009B37E9" w:rsidRDefault="009B37E9" w:rsidP="007A2E46">
            <w:r>
              <w:t>85+26 = 111</w:t>
            </w:r>
          </w:p>
        </w:tc>
        <w:tc>
          <w:tcPr>
            <w:tcW w:w="1980" w:type="dxa"/>
          </w:tcPr>
          <w:p w14:paraId="1DD63E4D" w14:textId="77777777" w:rsidR="009B37E9" w:rsidRDefault="009B37E9" w:rsidP="007A2E46">
            <w:r>
              <w:t xml:space="preserve">73 </w:t>
            </w:r>
          </w:p>
        </w:tc>
        <w:tc>
          <w:tcPr>
            <w:tcW w:w="1980" w:type="dxa"/>
          </w:tcPr>
          <w:p w14:paraId="3F20DF2C" w14:textId="77777777" w:rsidR="009B37E9" w:rsidRDefault="009B37E9" w:rsidP="007A2E46">
            <w:r>
              <w:t>94 (9 Duplicates)</w:t>
            </w:r>
          </w:p>
          <w:p w14:paraId="6B1E7499" w14:textId="77777777" w:rsidR="009B37E9" w:rsidRDefault="009B37E9" w:rsidP="007A2E46"/>
          <w:p w14:paraId="0A6BF4B7" w14:textId="77777777" w:rsidR="009B37E9" w:rsidRDefault="009B37E9" w:rsidP="007A2E46">
            <w:r>
              <w:t>94-9 = 85</w:t>
            </w:r>
          </w:p>
        </w:tc>
      </w:tr>
      <w:tr w:rsidR="009B37E9" w14:paraId="5B1D53E2" w14:textId="77777777" w:rsidTr="007A2E46">
        <w:tc>
          <w:tcPr>
            <w:tcW w:w="1255" w:type="dxa"/>
          </w:tcPr>
          <w:p w14:paraId="5D114AFB" w14:textId="77777777" w:rsidR="009B37E9" w:rsidRDefault="009B37E9" w:rsidP="007A2E46">
            <w:r>
              <w:t>Aug-2024</w:t>
            </w:r>
          </w:p>
        </w:tc>
        <w:tc>
          <w:tcPr>
            <w:tcW w:w="2070" w:type="dxa"/>
          </w:tcPr>
          <w:p w14:paraId="7B7677BD" w14:textId="77777777" w:rsidR="009B37E9" w:rsidRDefault="009B37E9" w:rsidP="007A2E46">
            <w:r>
              <w:t xml:space="preserve">52 </w:t>
            </w:r>
          </w:p>
        </w:tc>
        <w:tc>
          <w:tcPr>
            <w:tcW w:w="2070" w:type="dxa"/>
          </w:tcPr>
          <w:p w14:paraId="0ADC97D5" w14:textId="77777777" w:rsidR="009B37E9" w:rsidRPr="00E443E5" w:rsidRDefault="009B37E9" w:rsidP="007A2E46">
            <w:pPr>
              <w:rPr>
                <w:color w:val="47D459" w:themeColor="accent3" w:themeTint="99"/>
              </w:rPr>
            </w:pPr>
            <w:r w:rsidRPr="005E7949">
              <w:rPr>
                <w:color w:val="47D459" w:themeColor="accent3" w:themeTint="99"/>
              </w:rPr>
              <w:t>73</w:t>
            </w:r>
            <w:r>
              <w:t xml:space="preserve"> (34 New Added)</w:t>
            </w:r>
          </w:p>
        </w:tc>
        <w:tc>
          <w:tcPr>
            <w:tcW w:w="1980" w:type="dxa"/>
          </w:tcPr>
          <w:p w14:paraId="4BB977C2" w14:textId="77777777" w:rsidR="009B37E9" w:rsidRDefault="009B37E9" w:rsidP="007A2E46">
            <w:r>
              <w:t>52</w:t>
            </w:r>
          </w:p>
        </w:tc>
        <w:tc>
          <w:tcPr>
            <w:tcW w:w="1980" w:type="dxa"/>
          </w:tcPr>
          <w:p w14:paraId="25341BDB" w14:textId="77777777" w:rsidR="009B37E9" w:rsidRDefault="009B37E9" w:rsidP="007A2E46">
            <w:r>
              <w:t>46 (7 Duplicates)</w:t>
            </w:r>
          </w:p>
        </w:tc>
      </w:tr>
      <w:tr w:rsidR="009B37E9" w14:paraId="447B0CD1" w14:textId="77777777" w:rsidTr="007A2E46">
        <w:tc>
          <w:tcPr>
            <w:tcW w:w="1255" w:type="dxa"/>
          </w:tcPr>
          <w:p w14:paraId="0F27EF34" w14:textId="77777777" w:rsidR="009B37E9" w:rsidRDefault="009B37E9" w:rsidP="007A2E46">
            <w:r>
              <w:t>Sep-2024</w:t>
            </w:r>
          </w:p>
        </w:tc>
        <w:tc>
          <w:tcPr>
            <w:tcW w:w="2070" w:type="dxa"/>
          </w:tcPr>
          <w:p w14:paraId="0A10592A" w14:textId="77777777" w:rsidR="009B37E9" w:rsidRDefault="009B37E9" w:rsidP="007A2E46">
            <w:r>
              <w:t>64</w:t>
            </w:r>
          </w:p>
        </w:tc>
        <w:tc>
          <w:tcPr>
            <w:tcW w:w="2070" w:type="dxa"/>
          </w:tcPr>
          <w:p w14:paraId="3039475F" w14:textId="77777777" w:rsidR="009B37E9" w:rsidRPr="005E7949" w:rsidRDefault="009B37E9" w:rsidP="007A2E46">
            <w:pPr>
              <w:rPr>
                <w:color w:val="47D459" w:themeColor="accent3" w:themeTint="99"/>
              </w:rPr>
            </w:pPr>
            <w:r w:rsidRPr="00FC577C">
              <w:rPr>
                <w:color w:val="000000" w:themeColor="text1"/>
              </w:rPr>
              <w:t xml:space="preserve">56+17 = </w:t>
            </w:r>
            <w:r w:rsidRPr="00FC577C">
              <w:rPr>
                <w:color w:val="47D459" w:themeColor="accent3" w:themeTint="99"/>
              </w:rPr>
              <w:t>73</w:t>
            </w:r>
          </w:p>
        </w:tc>
        <w:tc>
          <w:tcPr>
            <w:tcW w:w="1980" w:type="dxa"/>
          </w:tcPr>
          <w:p w14:paraId="2073DA4F" w14:textId="77777777" w:rsidR="009B37E9" w:rsidRDefault="009B37E9" w:rsidP="007A2E46">
            <w:r>
              <w:t>65-1 = 64</w:t>
            </w:r>
          </w:p>
        </w:tc>
        <w:tc>
          <w:tcPr>
            <w:tcW w:w="1980" w:type="dxa"/>
          </w:tcPr>
          <w:p w14:paraId="178AD787" w14:textId="77777777" w:rsidR="009B37E9" w:rsidRDefault="009B37E9" w:rsidP="007A2E46">
            <w:r>
              <w:t>63-8 = 55</w:t>
            </w:r>
          </w:p>
        </w:tc>
      </w:tr>
      <w:tr w:rsidR="009B37E9" w14:paraId="693FECE6" w14:textId="77777777" w:rsidTr="007A2E46">
        <w:tc>
          <w:tcPr>
            <w:tcW w:w="1255" w:type="dxa"/>
          </w:tcPr>
          <w:p w14:paraId="3FA77F4C" w14:textId="77777777" w:rsidR="009B37E9" w:rsidRDefault="009B37E9" w:rsidP="007A2E46">
            <w:r>
              <w:t>Oct-2024</w:t>
            </w:r>
          </w:p>
        </w:tc>
        <w:tc>
          <w:tcPr>
            <w:tcW w:w="2070" w:type="dxa"/>
          </w:tcPr>
          <w:p w14:paraId="17CB6A7E" w14:textId="77777777" w:rsidR="009B37E9" w:rsidRDefault="009B37E9" w:rsidP="007A2E46">
            <w:r>
              <w:t>77</w:t>
            </w:r>
          </w:p>
        </w:tc>
        <w:tc>
          <w:tcPr>
            <w:tcW w:w="2070" w:type="dxa"/>
          </w:tcPr>
          <w:p w14:paraId="71C11C1E" w14:textId="77777777" w:rsidR="009B37E9" w:rsidRPr="005E7949" w:rsidRDefault="009B37E9" w:rsidP="007A2E46">
            <w:pPr>
              <w:rPr>
                <w:color w:val="47D459" w:themeColor="accent3" w:themeTint="99"/>
              </w:rPr>
            </w:pPr>
            <w:r w:rsidRPr="00643E86">
              <w:t xml:space="preserve">40+22 = </w:t>
            </w:r>
            <w:r>
              <w:rPr>
                <w:color w:val="47D459" w:themeColor="accent3" w:themeTint="99"/>
              </w:rPr>
              <w:t>62</w:t>
            </w:r>
          </w:p>
        </w:tc>
        <w:tc>
          <w:tcPr>
            <w:tcW w:w="1980" w:type="dxa"/>
          </w:tcPr>
          <w:p w14:paraId="18609B85" w14:textId="77777777" w:rsidR="009B37E9" w:rsidRDefault="009B37E9" w:rsidP="007A2E46">
            <w:r>
              <w:t>78-1 = 77</w:t>
            </w:r>
          </w:p>
        </w:tc>
        <w:tc>
          <w:tcPr>
            <w:tcW w:w="1980" w:type="dxa"/>
          </w:tcPr>
          <w:p w14:paraId="4D3AF117" w14:textId="77777777" w:rsidR="009B37E9" w:rsidRDefault="009B37E9" w:rsidP="007A2E46">
            <w:r>
              <w:t>44-4 = 40</w:t>
            </w:r>
          </w:p>
        </w:tc>
      </w:tr>
      <w:tr w:rsidR="009B37E9" w14:paraId="6319B0CA" w14:textId="77777777" w:rsidTr="007A2E46">
        <w:tc>
          <w:tcPr>
            <w:tcW w:w="1255" w:type="dxa"/>
          </w:tcPr>
          <w:p w14:paraId="547022D3" w14:textId="77777777" w:rsidR="009B37E9" w:rsidRDefault="009B37E9" w:rsidP="007A2E46">
            <w:r>
              <w:t>Nov-2024</w:t>
            </w:r>
          </w:p>
        </w:tc>
        <w:tc>
          <w:tcPr>
            <w:tcW w:w="2070" w:type="dxa"/>
          </w:tcPr>
          <w:p w14:paraId="6CF4C860" w14:textId="77777777" w:rsidR="009B37E9" w:rsidRDefault="009B37E9" w:rsidP="007A2E46">
            <w:r>
              <w:t>74-1 = 73</w:t>
            </w:r>
          </w:p>
        </w:tc>
        <w:tc>
          <w:tcPr>
            <w:tcW w:w="2070" w:type="dxa"/>
          </w:tcPr>
          <w:p w14:paraId="05B7EEE8" w14:textId="77777777" w:rsidR="009B37E9" w:rsidRPr="005E7949" w:rsidRDefault="009B37E9" w:rsidP="007A2E46">
            <w:pPr>
              <w:rPr>
                <w:color w:val="47D459" w:themeColor="accent3" w:themeTint="99"/>
              </w:rPr>
            </w:pPr>
            <w:r w:rsidRPr="00420990">
              <w:t>8+8 =</w:t>
            </w:r>
            <w:r>
              <w:rPr>
                <w:color w:val="47D459" w:themeColor="accent3" w:themeTint="99"/>
              </w:rPr>
              <w:t xml:space="preserve"> 16</w:t>
            </w:r>
          </w:p>
        </w:tc>
        <w:tc>
          <w:tcPr>
            <w:tcW w:w="1980" w:type="dxa"/>
          </w:tcPr>
          <w:p w14:paraId="7C5500A3" w14:textId="77777777" w:rsidR="009B37E9" w:rsidRDefault="009B37E9" w:rsidP="007A2E46">
            <w:r>
              <w:t>73</w:t>
            </w:r>
          </w:p>
        </w:tc>
        <w:tc>
          <w:tcPr>
            <w:tcW w:w="1980" w:type="dxa"/>
          </w:tcPr>
          <w:p w14:paraId="64065C8E" w14:textId="77777777" w:rsidR="009B37E9" w:rsidRDefault="009B37E9" w:rsidP="007A2E46">
            <w:r>
              <w:t>8</w:t>
            </w:r>
          </w:p>
        </w:tc>
      </w:tr>
      <w:tr w:rsidR="009B37E9" w14:paraId="51B34AC2" w14:textId="77777777" w:rsidTr="007A2E46">
        <w:tc>
          <w:tcPr>
            <w:tcW w:w="1255" w:type="dxa"/>
          </w:tcPr>
          <w:p w14:paraId="6BA0233A" w14:textId="77777777" w:rsidR="009B37E9" w:rsidRDefault="009B37E9" w:rsidP="007A2E46">
            <w:r>
              <w:t>Dec-2024</w:t>
            </w:r>
          </w:p>
        </w:tc>
        <w:tc>
          <w:tcPr>
            <w:tcW w:w="2070" w:type="dxa"/>
          </w:tcPr>
          <w:p w14:paraId="79744CD8" w14:textId="77777777" w:rsidR="009B37E9" w:rsidRDefault="009B37E9" w:rsidP="007A2E46">
            <w:r>
              <w:t>38-4 = 34</w:t>
            </w:r>
          </w:p>
        </w:tc>
        <w:tc>
          <w:tcPr>
            <w:tcW w:w="2070" w:type="dxa"/>
          </w:tcPr>
          <w:p w14:paraId="7DB50682" w14:textId="77777777" w:rsidR="009B37E9" w:rsidRPr="00EA78D8" w:rsidRDefault="009B37E9" w:rsidP="007A2E46">
            <w:r>
              <w:t xml:space="preserve">6+19 = </w:t>
            </w:r>
            <w:r w:rsidRPr="00193B19">
              <w:rPr>
                <w:color w:val="47D459" w:themeColor="accent3" w:themeTint="99"/>
              </w:rPr>
              <w:t>25</w:t>
            </w:r>
          </w:p>
        </w:tc>
        <w:tc>
          <w:tcPr>
            <w:tcW w:w="1980" w:type="dxa"/>
          </w:tcPr>
          <w:p w14:paraId="24C795CD" w14:textId="77777777" w:rsidR="009B37E9" w:rsidRDefault="009B37E9" w:rsidP="007A2E46">
            <w:r>
              <w:t>34</w:t>
            </w:r>
          </w:p>
        </w:tc>
        <w:tc>
          <w:tcPr>
            <w:tcW w:w="1980" w:type="dxa"/>
          </w:tcPr>
          <w:p w14:paraId="17CA9498" w14:textId="77777777" w:rsidR="009B37E9" w:rsidRDefault="009B37E9" w:rsidP="007A2E46">
            <w:r>
              <w:t>6</w:t>
            </w:r>
          </w:p>
        </w:tc>
      </w:tr>
      <w:tr w:rsidR="009B37E9" w14:paraId="0A120A64" w14:textId="77777777" w:rsidTr="007A2E46">
        <w:tc>
          <w:tcPr>
            <w:tcW w:w="1255" w:type="dxa"/>
          </w:tcPr>
          <w:p w14:paraId="6647CF83" w14:textId="77777777" w:rsidR="009B37E9" w:rsidRDefault="009B37E9" w:rsidP="007A2E46">
            <w:r>
              <w:t>Jan-2025</w:t>
            </w:r>
          </w:p>
        </w:tc>
        <w:tc>
          <w:tcPr>
            <w:tcW w:w="2070" w:type="dxa"/>
          </w:tcPr>
          <w:p w14:paraId="6BF0C907" w14:textId="77777777" w:rsidR="009B37E9" w:rsidRDefault="009B37E9" w:rsidP="007A2E46">
            <w:r>
              <w:t>98</w:t>
            </w:r>
          </w:p>
        </w:tc>
        <w:tc>
          <w:tcPr>
            <w:tcW w:w="2070" w:type="dxa"/>
          </w:tcPr>
          <w:p w14:paraId="0F5CF5BA" w14:textId="77777777" w:rsidR="009B37E9" w:rsidRPr="00EA78D8" w:rsidRDefault="009B37E9" w:rsidP="007A2E46">
            <w:r>
              <w:t xml:space="preserve">30+3 = </w:t>
            </w:r>
            <w:r w:rsidRPr="00C95446">
              <w:rPr>
                <w:color w:val="47D459" w:themeColor="accent3" w:themeTint="99"/>
              </w:rPr>
              <w:t>33</w:t>
            </w:r>
          </w:p>
        </w:tc>
        <w:tc>
          <w:tcPr>
            <w:tcW w:w="1980" w:type="dxa"/>
          </w:tcPr>
          <w:p w14:paraId="7C4B8E7F" w14:textId="77777777" w:rsidR="009B37E9" w:rsidRDefault="009B37E9" w:rsidP="007A2E46">
            <w:r>
              <w:t>98</w:t>
            </w:r>
          </w:p>
        </w:tc>
        <w:tc>
          <w:tcPr>
            <w:tcW w:w="1980" w:type="dxa"/>
          </w:tcPr>
          <w:p w14:paraId="79A6AB99" w14:textId="77777777" w:rsidR="009B37E9" w:rsidRDefault="009B37E9" w:rsidP="007A2E46">
            <w:r>
              <w:t>30</w:t>
            </w:r>
          </w:p>
        </w:tc>
      </w:tr>
      <w:tr w:rsidR="009B37E9" w14:paraId="0ECD763F" w14:textId="77777777" w:rsidTr="007A2E46">
        <w:tc>
          <w:tcPr>
            <w:tcW w:w="1255" w:type="dxa"/>
          </w:tcPr>
          <w:p w14:paraId="712550E7" w14:textId="77777777" w:rsidR="009B37E9" w:rsidRDefault="009B37E9" w:rsidP="007A2E46">
            <w:r>
              <w:t>Feb-2025</w:t>
            </w:r>
          </w:p>
        </w:tc>
        <w:tc>
          <w:tcPr>
            <w:tcW w:w="2070" w:type="dxa"/>
          </w:tcPr>
          <w:p w14:paraId="3F9D9F0F" w14:textId="77777777" w:rsidR="009B37E9" w:rsidRDefault="009B37E9" w:rsidP="007A2E46">
            <w:r>
              <w:t>79</w:t>
            </w:r>
          </w:p>
        </w:tc>
        <w:tc>
          <w:tcPr>
            <w:tcW w:w="2070" w:type="dxa"/>
          </w:tcPr>
          <w:p w14:paraId="1CEBE715" w14:textId="77777777" w:rsidR="009B37E9" w:rsidRPr="00EA78D8" w:rsidRDefault="009B37E9" w:rsidP="007A2E46">
            <w:r>
              <w:t xml:space="preserve">10+12 = </w:t>
            </w:r>
            <w:r w:rsidRPr="009B02FE">
              <w:rPr>
                <w:color w:val="47D459" w:themeColor="accent3" w:themeTint="99"/>
              </w:rPr>
              <w:t>22</w:t>
            </w:r>
          </w:p>
        </w:tc>
        <w:tc>
          <w:tcPr>
            <w:tcW w:w="1980" w:type="dxa"/>
          </w:tcPr>
          <w:p w14:paraId="210CC1EF" w14:textId="77777777" w:rsidR="009B37E9" w:rsidRDefault="009B37E9" w:rsidP="007A2E46">
            <w:r>
              <w:t>79</w:t>
            </w:r>
          </w:p>
        </w:tc>
        <w:tc>
          <w:tcPr>
            <w:tcW w:w="1980" w:type="dxa"/>
          </w:tcPr>
          <w:p w14:paraId="0178B53C" w14:textId="77777777" w:rsidR="009B37E9" w:rsidRDefault="009B37E9" w:rsidP="007A2E46">
            <w:r>
              <w:t>10</w:t>
            </w:r>
          </w:p>
        </w:tc>
      </w:tr>
      <w:tr w:rsidR="009B37E9" w14:paraId="677D2482" w14:textId="77777777" w:rsidTr="007A2E46">
        <w:tc>
          <w:tcPr>
            <w:tcW w:w="1255" w:type="dxa"/>
          </w:tcPr>
          <w:p w14:paraId="7B3E123F" w14:textId="77777777" w:rsidR="009B37E9" w:rsidRDefault="009B37E9" w:rsidP="007A2E46">
            <w:r>
              <w:t>Mar-2025</w:t>
            </w:r>
          </w:p>
        </w:tc>
        <w:tc>
          <w:tcPr>
            <w:tcW w:w="2070" w:type="dxa"/>
          </w:tcPr>
          <w:p w14:paraId="174EEB8B" w14:textId="77777777" w:rsidR="009B37E9" w:rsidRDefault="009B37E9" w:rsidP="007A2E46">
            <w:r>
              <w:t>73</w:t>
            </w:r>
          </w:p>
        </w:tc>
        <w:tc>
          <w:tcPr>
            <w:tcW w:w="2070" w:type="dxa"/>
          </w:tcPr>
          <w:p w14:paraId="49AEFDE6" w14:textId="77777777" w:rsidR="009B37E9" w:rsidRPr="00EA78D8" w:rsidRDefault="009B37E9" w:rsidP="007A2E46">
            <w:r>
              <w:t xml:space="preserve">7+17 = </w:t>
            </w:r>
            <w:r w:rsidRPr="00D1265B">
              <w:rPr>
                <w:color w:val="47D459" w:themeColor="accent3" w:themeTint="99"/>
              </w:rPr>
              <w:t>24</w:t>
            </w:r>
          </w:p>
        </w:tc>
        <w:tc>
          <w:tcPr>
            <w:tcW w:w="1980" w:type="dxa"/>
          </w:tcPr>
          <w:p w14:paraId="594F488E" w14:textId="77777777" w:rsidR="009B37E9" w:rsidRDefault="009B37E9" w:rsidP="007A2E46">
            <w:r>
              <w:t>73</w:t>
            </w:r>
          </w:p>
        </w:tc>
        <w:tc>
          <w:tcPr>
            <w:tcW w:w="1980" w:type="dxa"/>
          </w:tcPr>
          <w:p w14:paraId="519F4DEB" w14:textId="77777777" w:rsidR="009B37E9" w:rsidRDefault="009B37E9" w:rsidP="007A2E46">
            <w:r>
              <w:t>8-1 = 7</w:t>
            </w:r>
          </w:p>
        </w:tc>
      </w:tr>
      <w:tr w:rsidR="009B37E9" w14:paraId="76D65DCE" w14:textId="77777777" w:rsidTr="007A2E46">
        <w:tc>
          <w:tcPr>
            <w:tcW w:w="1255" w:type="dxa"/>
          </w:tcPr>
          <w:p w14:paraId="46EE7DE5" w14:textId="77777777" w:rsidR="009B37E9" w:rsidRDefault="009B37E9" w:rsidP="007A2E46">
            <w:r>
              <w:t>Apr-2025</w:t>
            </w:r>
          </w:p>
        </w:tc>
        <w:tc>
          <w:tcPr>
            <w:tcW w:w="2070" w:type="dxa"/>
          </w:tcPr>
          <w:p w14:paraId="46609EE5" w14:textId="77777777" w:rsidR="009B37E9" w:rsidRDefault="009B37E9" w:rsidP="007A2E46">
            <w:r>
              <w:t>64</w:t>
            </w:r>
          </w:p>
        </w:tc>
        <w:tc>
          <w:tcPr>
            <w:tcW w:w="2070" w:type="dxa"/>
          </w:tcPr>
          <w:p w14:paraId="03BC95D4" w14:textId="77777777" w:rsidR="009B37E9" w:rsidRPr="00EA78D8" w:rsidRDefault="009B37E9" w:rsidP="007A2E46">
            <w:r w:rsidRPr="00E20EDA">
              <w:rPr>
                <w:color w:val="47D459" w:themeColor="accent3" w:themeTint="99"/>
              </w:rPr>
              <w:t>34</w:t>
            </w:r>
          </w:p>
        </w:tc>
        <w:tc>
          <w:tcPr>
            <w:tcW w:w="1980" w:type="dxa"/>
          </w:tcPr>
          <w:p w14:paraId="74CCA94C" w14:textId="77777777" w:rsidR="009B37E9" w:rsidRDefault="009B37E9" w:rsidP="007A2E46">
            <w:r>
              <w:t>64</w:t>
            </w:r>
          </w:p>
        </w:tc>
        <w:tc>
          <w:tcPr>
            <w:tcW w:w="1980" w:type="dxa"/>
          </w:tcPr>
          <w:p w14:paraId="6A87CD28" w14:textId="77777777" w:rsidR="009B37E9" w:rsidRDefault="009B37E9" w:rsidP="007A2E46">
            <w:r>
              <w:t>NA</w:t>
            </w:r>
          </w:p>
        </w:tc>
      </w:tr>
    </w:tbl>
    <w:p w14:paraId="4BC3B6EA" w14:textId="77777777" w:rsidR="009B37E9" w:rsidRPr="009B37E9" w:rsidRDefault="009B37E9" w:rsidP="009B37E9"/>
    <w:p w14:paraId="2952C2AA" w14:textId="77777777" w:rsidR="009B37E9" w:rsidRDefault="009B37E9"/>
    <w:p w14:paraId="5A27349C" w14:textId="77777777" w:rsidR="004C1B63" w:rsidRPr="004C1B63" w:rsidRDefault="004C1B63" w:rsidP="004C1B63">
      <w:r w:rsidRPr="004C1B63">
        <w:t xml:space="preserve">In this table, the proposal and award counts are compared between two sources: the most recent counts done by Md Ismail Hossain and the earlier counts done by Ashlee Marie </w:t>
      </w:r>
      <w:proofErr w:type="spellStart"/>
      <w:r w:rsidRPr="004C1B63">
        <w:t>Kupilik</w:t>
      </w:r>
      <w:proofErr w:type="spellEnd"/>
      <w:r w:rsidRPr="004C1B63">
        <w:t xml:space="preserve"> based on monthly data snapshots.</w:t>
      </w:r>
    </w:p>
    <w:p w14:paraId="2D1A34D7" w14:textId="77777777" w:rsidR="004C1B63" w:rsidRPr="004C1B63" w:rsidRDefault="004C1B63" w:rsidP="004C1B63">
      <w:r w:rsidRPr="004C1B63">
        <w:t xml:space="preserve">Ismail’s counts include both </w:t>
      </w:r>
      <w:r w:rsidRPr="004C1B63">
        <w:rPr>
          <w:b/>
          <w:bCs/>
        </w:rPr>
        <w:t>Original Awards</w:t>
      </w:r>
      <w:r w:rsidRPr="004C1B63">
        <w:t xml:space="preserve"> and </w:t>
      </w:r>
      <w:r w:rsidRPr="004C1B63">
        <w:rPr>
          <w:b/>
          <w:bCs/>
        </w:rPr>
        <w:t>Incremental Awards</w:t>
      </w:r>
      <w:r w:rsidRPr="004C1B63">
        <w:t xml:space="preserve"> using the </w:t>
      </w:r>
      <w:r w:rsidRPr="004C1B63">
        <w:rPr>
          <w:b/>
          <w:bCs/>
        </w:rPr>
        <w:t>latest available data</w:t>
      </w:r>
      <w:r w:rsidRPr="004C1B63">
        <w:t xml:space="preserve">, providing a more complete picture. In contrast, the previous monthly counts by Ashlee included some </w:t>
      </w:r>
      <w:r w:rsidRPr="004C1B63">
        <w:rPr>
          <w:b/>
          <w:bCs/>
        </w:rPr>
        <w:t>duplicate awards</w:t>
      </w:r>
      <w:r w:rsidRPr="004C1B63">
        <w:t xml:space="preserve">, which have now been identified and removed. These duplicates are noted and subtracted in each monthly summary. For example, in </w:t>
      </w:r>
      <w:r w:rsidRPr="004C1B63">
        <w:rPr>
          <w:b/>
          <w:bCs/>
        </w:rPr>
        <w:t>July 2024</w:t>
      </w:r>
      <w:r w:rsidRPr="004C1B63">
        <w:t xml:space="preserve">, there were </w:t>
      </w:r>
      <w:r w:rsidRPr="004C1B63">
        <w:rPr>
          <w:b/>
          <w:bCs/>
        </w:rPr>
        <w:t>9 duplicate awards</w:t>
      </w:r>
      <w:r w:rsidRPr="004C1B63">
        <w:t xml:space="preserve">, so the corrected total was </w:t>
      </w:r>
      <w:r w:rsidRPr="004C1B63">
        <w:rPr>
          <w:b/>
          <w:bCs/>
        </w:rPr>
        <w:t>85</w:t>
      </w:r>
      <w:r w:rsidRPr="004C1B63">
        <w:t xml:space="preserve">. With updated data, </w:t>
      </w:r>
      <w:r w:rsidRPr="004C1B63">
        <w:rPr>
          <w:b/>
          <w:bCs/>
        </w:rPr>
        <w:t>26 new awards</w:t>
      </w:r>
      <w:r w:rsidRPr="004C1B63">
        <w:t xml:space="preserve"> have since been added, bringing the total to </w:t>
      </w:r>
      <w:r w:rsidRPr="004C1B63">
        <w:rPr>
          <w:b/>
          <w:bCs/>
        </w:rPr>
        <w:t>111 (85 + 26)</w:t>
      </w:r>
      <w:r w:rsidRPr="004C1B63">
        <w:t xml:space="preserve">. These </w:t>
      </w:r>
      <w:r w:rsidRPr="004C1B63">
        <w:rPr>
          <w:b/>
          <w:bCs/>
        </w:rPr>
        <w:t>newly added awards are highlighted in green</w:t>
      </w:r>
      <w:r w:rsidRPr="004C1B63">
        <w:t xml:space="preserve"> in the summary.</w:t>
      </w:r>
    </w:p>
    <w:p w14:paraId="6169F2B9" w14:textId="77777777" w:rsidR="004C1B63" w:rsidRDefault="004C1B63" w:rsidP="004C1B63">
      <w:r w:rsidRPr="004C1B63">
        <w:lastRenderedPageBreak/>
        <w:t xml:space="preserve">The </w:t>
      </w:r>
      <w:r w:rsidRPr="004C1B63">
        <w:rPr>
          <w:b/>
          <w:bCs/>
        </w:rPr>
        <w:t>proposal counts</w:t>
      </w:r>
      <w:r w:rsidRPr="004C1B63">
        <w:t xml:space="preserve"> largely match between the two reports, with only minor adjustments. These adjustments are explained in the later sections of the report.</w:t>
      </w:r>
    </w:p>
    <w:p w14:paraId="0E795891" w14:textId="77777777" w:rsidR="0081489A" w:rsidRPr="004C1B63" w:rsidRDefault="0081489A" w:rsidP="001407E5"/>
    <w:p w14:paraId="1CA5CF4A" w14:textId="77777777" w:rsidR="00AB058B" w:rsidRDefault="00AB058B"/>
    <w:p w14:paraId="6BF7FE76" w14:textId="77777777" w:rsidR="00390576" w:rsidRPr="00A5717F" w:rsidRDefault="00390576" w:rsidP="00390576">
      <w:pPr>
        <w:rPr>
          <w:b/>
          <w:bCs/>
        </w:rPr>
      </w:pPr>
      <w:r w:rsidRPr="00A5717F">
        <w:rPr>
          <w:b/>
          <w:bCs/>
        </w:rPr>
        <w:t>Note:</w:t>
      </w:r>
    </w:p>
    <w:p w14:paraId="6334A065" w14:textId="7E420DE3" w:rsidR="00D45868" w:rsidRPr="00D45868" w:rsidRDefault="00D45868" w:rsidP="00D45868">
      <w:pPr>
        <w:pStyle w:val="ListParagraph"/>
        <w:numPr>
          <w:ilvl w:val="0"/>
          <w:numId w:val="12"/>
        </w:numPr>
      </w:pPr>
      <w:r w:rsidRPr="00D45868">
        <w:t xml:space="preserve">Duplicates are highlighted in </w:t>
      </w:r>
      <w:r w:rsidRPr="00D45868">
        <w:rPr>
          <w:b/>
          <w:bCs/>
        </w:rPr>
        <w:t>yellow</w:t>
      </w:r>
      <w:r w:rsidRPr="00D45868">
        <w:t xml:space="preserve"> in the previous report prepared by Ashlee.</w:t>
      </w:r>
    </w:p>
    <w:p w14:paraId="74FA2525" w14:textId="184DB674" w:rsidR="00D45868" w:rsidRPr="00D45868" w:rsidRDefault="00D45868" w:rsidP="00D45868">
      <w:pPr>
        <w:pStyle w:val="ListParagraph"/>
        <w:numPr>
          <w:ilvl w:val="0"/>
          <w:numId w:val="12"/>
        </w:numPr>
      </w:pPr>
      <w:r w:rsidRPr="00D45868">
        <w:t xml:space="preserve">Newly identified IDs are highlighted in </w:t>
      </w:r>
      <w:r w:rsidRPr="00D45868">
        <w:rPr>
          <w:b/>
          <w:bCs/>
        </w:rPr>
        <w:t>green</w:t>
      </w:r>
      <w:r w:rsidRPr="00D45868">
        <w:t xml:space="preserve"> in the updated report prepared by Ismail.</w:t>
      </w:r>
    </w:p>
    <w:p w14:paraId="3B6FF035" w14:textId="4961BDA9" w:rsidR="00D45868" w:rsidRPr="00D45868" w:rsidRDefault="00D45868" w:rsidP="00D45868">
      <w:pPr>
        <w:pStyle w:val="ListParagraph"/>
        <w:numPr>
          <w:ilvl w:val="0"/>
          <w:numId w:val="12"/>
        </w:numPr>
      </w:pPr>
      <w:r w:rsidRPr="00D45868">
        <w:t xml:space="preserve">In the previous report, </w:t>
      </w:r>
      <w:r w:rsidRPr="00D45868">
        <w:rPr>
          <w:b/>
          <w:bCs/>
        </w:rPr>
        <w:t>Economics awards were incorrectly counted under Agriculture instead of Business</w:t>
      </w:r>
      <w:r w:rsidRPr="00D45868">
        <w:t>.</w:t>
      </w:r>
    </w:p>
    <w:p w14:paraId="7E4879E8" w14:textId="77777777" w:rsidR="00D33525" w:rsidRDefault="00D33525"/>
    <w:p w14:paraId="70A56963" w14:textId="64E69E01" w:rsidR="00810FDB" w:rsidRPr="006C50AC" w:rsidRDefault="008E1E69">
      <w:pPr>
        <w:rPr>
          <w:b/>
          <w:bCs/>
          <w:u w:val="single"/>
        </w:rPr>
      </w:pPr>
      <w:r w:rsidRPr="006C50AC">
        <w:rPr>
          <w:b/>
          <w:bCs/>
          <w:u w:val="single"/>
        </w:rPr>
        <w:t>Proposal Count Matching:</w:t>
      </w:r>
    </w:p>
    <w:p w14:paraId="3AB5F503" w14:textId="77777777" w:rsidR="00810FDB" w:rsidRPr="00803920" w:rsidRDefault="00810FDB" w:rsidP="00810FDB">
      <w:pPr>
        <w:rPr>
          <w:b/>
          <w:bCs/>
        </w:rPr>
      </w:pPr>
      <w:r w:rsidRPr="00803920">
        <w:rPr>
          <w:b/>
          <w:bCs/>
        </w:rPr>
        <w:t xml:space="preserve">Sep-2024: </w:t>
      </w:r>
    </w:p>
    <w:p w14:paraId="2E6E7281" w14:textId="029489E1" w:rsidR="005E0C02" w:rsidRDefault="00810FDB" w:rsidP="005E0C02">
      <w:pPr>
        <w:pStyle w:val="ListParagraph"/>
        <w:numPr>
          <w:ilvl w:val="0"/>
          <w:numId w:val="7"/>
        </w:numPr>
      </w:pPr>
      <w:r w:rsidRPr="00810FDB">
        <w:t>25-0126-P0001</w:t>
      </w:r>
      <w:r>
        <w:t xml:space="preserve"> -  Actual Submission date </w:t>
      </w:r>
      <w:r w:rsidR="000100A3">
        <w:t xml:space="preserve">is </w:t>
      </w:r>
      <w:r w:rsidR="000100A3" w:rsidRPr="000100A3">
        <w:t>10/3/2024</w:t>
      </w:r>
      <w:r w:rsidR="000100A3">
        <w:t xml:space="preserve">. </w:t>
      </w:r>
      <w:r w:rsidR="000779DB">
        <w:t>(</w:t>
      </w:r>
      <w:r w:rsidR="000779DB" w:rsidRPr="000779DB">
        <w:t>Status was changed from: Submitted to Sponsor to Closed. Resolution set to: PI Abandoned</w:t>
      </w:r>
      <w:r w:rsidR="000779DB">
        <w:t xml:space="preserve">) </w:t>
      </w:r>
      <w:r w:rsidR="00AE0B49">
        <w:t>This is the new submission date.</w:t>
      </w:r>
      <w:r w:rsidR="00D23A55">
        <w:t xml:space="preserve"> Should subtract from old count (65-1 = 64)</w:t>
      </w:r>
    </w:p>
    <w:p w14:paraId="0451FBC2" w14:textId="77777777" w:rsidR="00C94DDB" w:rsidRPr="00803920" w:rsidRDefault="00C94DDB" w:rsidP="00C94DDB">
      <w:pPr>
        <w:rPr>
          <w:b/>
          <w:bCs/>
        </w:rPr>
      </w:pPr>
      <w:r w:rsidRPr="00803920">
        <w:rPr>
          <w:b/>
          <w:bCs/>
        </w:rPr>
        <w:t>Oct-2024:</w:t>
      </w:r>
    </w:p>
    <w:p w14:paraId="04404CC0" w14:textId="56754812" w:rsidR="005E0C02" w:rsidRPr="005E0C02" w:rsidRDefault="005E0C02" w:rsidP="005E0C02">
      <w:pPr>
        <w:pStyle w:val="ListParagraph"/>
        <w:numPr>
          <w:ilvl w:val="0"/>
          <w:numId w:val="7"/>
        </w:numPr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C94DDB">
        <w:t>25-0076-P0001</w:t>
      </w:r>
      <w:r>
        <w:t xml:space="preserve"> </w:t>
      </w:r>
      <w:r w:rsidRPr="00612F28">
        <w:t>NIH reinstated the application.</w:t>
      </w:r>
      <w:r>
        <w:t xml:space="preserve"> New Submission Date is </w:t>
      </w:r>
      <w:r w:rsidRPr="005E0C02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br/>
        <w:t>3/27/2025</w:t>
      </w:r>
      <w:r w:rsidR="00B34EBC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 xml:space="preserve"> (Should remove this from old count, 78-1 = 77)</w:t>
      </w:r>
    </w:p>
    <w:p w14:paraId="20C1F2DF" w14:textId="77777777" w:rsidR="005E0C02" w:rsidRDefault="005E0C02" w:rsidP="00C94DDB">
      <w:pPr>
        <w:pStyle w:val="ListParagraph"/>
        <w:numPr>
          <w:ilvl w:val="0"/>
          <w:numId w:val="7"/>
        </w:numPr>
      </w:pPr>
      <w:r w:rsidRPr="005E0C02">
        <w:t>25-0254-P0001</w:t>
      </w:r>
      <w:r>
        <w:t xml:space="preserve"> Economics Under business not Agriculture. </w:t>
      </w:r>
    </w:p>
    <w:p w14:paraId="25AAD67A" w14:textId="0405798A" w:rsidR="0061337F" w:rsidRPr="00803920" w:rsidRDefault="0061337F" w:rsidP="0061337F">
      <w:pPr>
        <w:rPr>
          <w:b/>
          <w:bCs/>
        </w:rPr>
      </w:pPr>
      <w:r w:rsidRPr="00803920">
        <w:rPr>
          <w:b/>
          <w:bCs/>
        </w:rPr>
        <w:t>Nov-2024:</w:t>
      </w:r>
    </w:p>
    <w:p w14:paraId="650C07AD" w14:textId="544185D4" w:rsidR="0061337F" w:rsidRDefault="0061337F" w:rsidP="0061337F">
      <w:pPr>
        <w:pStyle w:val="ListParagraph"/>
        <w:numPr>
          <w:ilvl w:val="0"/>
          <w:numId w:val="8"/>
        </w:numPr>
      </w:pPr>
      <w:r w:rsidRPr="0061337F">
        <w:t>25-0333-P0001</w:t>
      </w:r>
      <w:r w:rsidR="00816351">
        <w:t xml:space="preserve"> (</w:t>
      </w:r>
      <w:r w:rsidR="00816351" w:rsidRPr="00816351">
        <w:t>Re-submitted on 12/10/2024 P-CESU-2025-006779</w:t>
      </w:r>
      <w:r w:rsidR="00816351">
        <w:t>)</w:t>
      </w:r>
    </w:p>
    <w:p w14:paraId="7AC59E21" w14:textId="3405CF36" w:rsidR="00074162" w:rsidRDefault="00074162" w:rsidP="0061337F">
      <w:pPr>
        <w:pStyle w:val="ListParagraph"/>
        <w:numPr>
          <w:ilvl w:val="0"/>
          <w:numId w:val="8"/>
        </w:numPr>
      </w:pPr>
      <w:r w:rsidRPr="00074162">
        <w:t>25-0228-P0001</w:t>
      </w:r>
      <w:r>
        <w:t xml:space="preserve"> </w:t>
      </w:r>
      <w:r w:rsidR="00B86DBC">
        <w:t xml:space="preserve">in the comment it’s mentioned that </w:t>
      </w:r>
      <w:r w:rsidR="00134D03">
        <w:t>“</w:t>
      </w:r>
      <w:r w:rsidR="00134D03" w:rsidRPr="00134D03">
        <w:t xml:space="preserve">NOT A PROPOSAL we need to capture and report. This is State Appropriation that Administration would like routed and setup through PPM in </w:t>
      </w:r>
      <w:proofErr w:type="spellStart"/>
      <w:r w:rsidR="00134D03" w:rsidRPr="00134D03">
        <w:t>WyoCloud</w:t>
      </w:r>
      <w:proofErr w:type="spellEnd"/>
      <w:r w:rsidR="00134D03" w:rsidRPr="00134D03">
        <w:t>.</w:t>
      </w:r>
      <w:r w:rsidR="00134D03">
        <w:t xml:space="preserve">”. We are using the history action </w:t>
      </w:r>
      <w:r w:rsidR="00D14070">
        <w:t xml:space="preserve">date to get the submission </w:t>
      </w:r>
      <w:r w:rsidR="008765EF">
        <w:t>date,</w:t>
      </w:r>
      <w:r w:rsidR="00D14070">
        <w:t xml:space="preserve"> that’s why it’s showing the proposal here! I marked that yellow in my </w:t>
      </w:r>
      <w:r w:rsidR="008765EF">
        <w:t xml:space="preserve">report. </w:t>
      </w:r>
      <w:r w:rsidR="00851408">
        <w:t>Should not count this in updated summary</w:t>
      </w:r>
      <w:r w:rsidR="008E1E69">
        <w:t>.</w:t>
      </w:r>
      <w:r w:rsidR="009A56AC">
        <w:t xml:space="preserve"> (</w:t>
      </w:r>
      <w:r w:rsidR="00B74338">
        <w:t>New</w:t>
      </w:r>
      <w:r w:rsidR="009A56AC">
        <w:t xml:space="preserve"> summary 74-1 = 73)</w:t>
      </w:r>
    </w:p>
    <w:p w14:paraId="504A63F5" w14:textId="49CC0C0E" w:rsidR="008765EF" w:rsidRPr="00803920" w:rsidRDefault="008765EF" w:rsidP="008765EF">
      <w:pPr>
        <w:rPr>
          <w:b/>
          <w:bCs/>
        </w:rPr>
      </w:pPr>
      <w:r w:rsidRPr="00803920">
        <w:rPr>
          <w:b/>
          <w:bCs/>
        </w:rPr>
        <w:t>Dec-2024:</w:t>
      </w:r>
    </w:p>
    <w:p w14:paraId="6A2D46AA" w14:textId="64CE68D6" w:rsidR="00487937" w:rsidRDefault="00627255" w:rsidP="00487937">
      <w:pPr>
        <w:pStyle w:val="ListParagraph"/>
        <w:numPr>
          <w:ilvl w:val="0"/>
          <w:numId w:val="9"/>
        </w:numPr>
      </w:pPr>
      <w:r w:rsidRPr="00627255">
        <w:t>23-1695-P0001</w:t>
      </w:r>
      <w:r>
        <w:t xml:space="preserve">: Originally submitted </w:t>
      </w:r>
      <w:r w:rsidR="00F20F5B">
        <w:t>on</w:t>
      </w:r>
      <w:r>
        <w:t xml:space="preserve"> 7/15/23</w:t>
      </w:r>
    </w:p>
    <w:p w14:paraId="422A5722" w14:textId="3E9E889B" w:rsidR="00627255" w:rsidRDefault="00627255" w:rsidP="00487937">
      <w:pPr>
        <w:pStyle w:val="ListParagraph"/>
        <w:numPr>
          <w:ilvl w:val="0"/>
          <w:numId w:val="9"/>
        </w:numPr>
      </w:pPr>
      <w:r w:rsidRPr="00627255">
        <w:t>25-0365-P0001</w:t>
      </w:r>
      <w:r>
        <w:t>: Not a proposal</w:t>
      </w:r>
    </w:p>
    <w:p w14:paraId="7DDE7CCB" w14:textId="531221F7" w:rsidR="00627255" w:rsidRDefault="006B5164" w:rsidP="00487937">
      <w:pPr>
        <w:pStyle w:val="ListParagraph"/>
        <w:numPr>
          <w:ilvl w:val="0"/>
          <w:numId w:val="9"/>
        </w:numPr>
      </w:pPr>
      <w:r w:rsidRPr="006B5164">
        <w:lastRenderedPageBreak/>
        <w:t>24-1093-P0001</w:t>
      </w:r>
      <w:r>
        <w:t>: Not a proposal</w:t>
      </w:r>
    </w:p>
    <w:p w14:paraId="20F3FEB1" w14:textId="1B3680BA" w:rsidR="006B5164" w:rsidRDefault="006B5164" w:rsidP="00487937">
      <w:pPr>
        <w:pStyle w:val="ListParagraph"/>
        <w:numPr>
          <w:ilvl w:val="0"/>
          <w:numId w:val="9"/>
        </w:numPr>
      </w:pPr>
      <w:r w:rsidRPr="006B5164">
        <w:t>25-0348-P0001</w:t>
      </w:r>
      <w:r>
        <w:t xml:space="preserve">: Submitted Under </w:t>
      </w:r>
      <w:r w:rsidR="00251DBD">
        <w:t>24-0619</w:t>
      </w:r>
      <w:r w:rsidR="00803920">
        <w:br/>
      </w:r>
      <w:r w:rsidR="00803920">
        <w:br/>
      </w:r>
      <w:r w:rsidR="003054AA">
        <w:t>New</w:t>
      </w:r>
      <w:r w:rsidR="00803920">
        <w:t xml:space="preserve"> summary 38-4 = 34!</w:t>
      </w:r>
    </w:p>
    <w:p w14:paraId="38A516DA" w14:textId="77777777" w:rsidR="00251DBD" w:rsidRDefault="00251DBD" w:rsidP="00251DBD"/>
    <w:p w14:paraId="7EC21501" w14:textId="7589AD02" w:rsidR="00251DBD" w:rsidRDefault="00CB2B63" w:rsidP="00251DBD">
      <w:r w:rsidRPr="00803920">
        <w:rPr>
          <w:b/>
          <w:bCs/>
        </w:rPr>
        <w:t>Jan-</w:t>
      </w:r>
      <w:r w:rsidR="00851408" w:rsidRPr="00803920">
        <w:rPr>
          <w:b/>
          <w:bCs/>
        </w:rPr>
        <w:t>Mar (2025)</w:t>
      </w:r>
      <w:r w:rsidR="00851408">
        <w:t xml:space="preserve">: Proposal Count Perfectly Matched. </w:t>
      </w:r>
      <w:r w:rsidR="0071242D">
        <w:br/>
      </w:r>
      <w:r w:rsidR="0071242D">
        <w:br/>
      </w:r>
      <w:r w:rsidR="0071242D">
        <w:br/>
      </w:r>
      <w:r w:rsidR="00360645" w:rsidRPr="00360645">
        <w:t xml:space="preserve">To address the “Not a Proposal” issue in the latest summary, I have </w:t>
      </w:r>
      <w:r w:rsidR="00360645" w:rsidRPr="00360645">
        <w:rPr>
          <w:b/>
          <w:bCs/>
        </w:rPr>
        <w:t>highlighted the relevant proposal details based on the information provided in the History Action Comment</w:t>
      </w:r>
      <w:r w:rsidR="00360645" w:rsidRPr="00360645">
        <w:t>.</w:t>
      </w:r>
    </w:p>
    <w:p w14:paraId="70B73D50" w14:textId="77777777" w:rsidR="009B37E9" w:rsidRDefault="009B37E9" w:rsidP="00251DBD"/>
    <w:p w14:paraId="6FB59DA8" w14:textId="3E801CE9" w:rsidR="009B37E9" w:rsidRDefault="009B37E9" w:rsidP="00251DBD">
      <w:r w:rsidRPr="009B37E9">
        <w:rPr>
          <w:b/>
          <w:bCs/>
        </w:rPr>
        <w:t>Next Action:</w:t>
      </w:r>
      <w:r>
        <w:t xml:space="preserve">  Create a </w:t>
      </w:r>
      <w:proofErr w:type="spellStart"/>
      <w:r>
        <w:t>PowerBI</w:t>
      </w:r>
      <w:proofErr w:type="spellEnd"/>
      <w:r>
        <w:t xml:space="preserve"> report for better representation and general solution of this reporting.</w:t>
      </w:r>
    </w:p>
    <w:sectPr w:rsidR="009B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6BEE"/>
    <w:multiLevelType w:val="hybridMultilevel"/>
    <w:tmpl w:val="9F446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20547"/>
    <w:multiLevelType w:val="hybridMultilevel"/>
    <w:tmpl w:val="577EEEF8"/>
    <w:lvl w:ilvl="0" w:tplc="A0D6AFB4">
      <w:start w:val="23"/>
      <w:numFmt w:val="bullet"/>
      <w:lvlText w:val="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FF7C6A"/>
    <w:multiLevelType w:val="hybridMultilevel"/>
    <w:tmpl w:val="8034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62FFC"/>
    <w:multiLevelType w:val="hybridMultilevel"/>
    <w:tmpl w:val="1C54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F18E3"/>
    <w:multiLevelType w:val="hybridMultilevel"/>
    <w:tmpl w:val="338A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90A4F"/>
    <w:multiLevelType w:val="hybridMultilevel"/>
    <w:tmpl w:val="153045BA"/>
    <w:lvl w:ilvl="0" w:tplc="A0D6AFB4">
      <w:start w:val="23"/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03968"/>
    <w:multiLevelType w:val="hybridMultilevel"/>
    <w:tmpl w:val="26BA0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A008F"/>
    <w:multiLevelType w:val="hybridMultilevel"/>
    <w:tmpl w:val="83ACE0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836605"/>
    <w:multiLevelType w:val="hybridMultilevel"/>
    <w:tmpl w:val="31AA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12BB6"/>
    <w:multiLevelType w:val="hybridMultilevel"/>
    <w:tmpl w:val="8702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86B8C"/>
    <w:multiLevelType w:val="hybridMultilevel"/>
    <w:tmpl w:val="1E40D648"/>
    <w:lvl w:ilvl="0" w:tplc="AF468B2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6387E"/>
    <w:multiLevelType w:val="hybridMultilevel"/>
    <w:tmpl w:val="65CA5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41378C"/>
    <w:multiLevelType w:val="multilevel"/>
    <w:tmpl w:val="4C26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BA13BD"/>
    <w:multiLevelType w:val="hybridMultilevel"/>
    <w:tmpl w:val="F468E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8016621">
    <w:abstractNumId w:val="9"/>
  </w:num>
  <w:num w:numId="2" w16cid:durableId="102498600">
    <w:abstractNumId w:val="13"/>
  </w:num>
  <w:num w:numId="3" w16cid:durableId="365299226">
    <w:abstractNumId w:val="5"/>
  </w:num>
  <w:num w:numId="4" w16cid:durableId="1995451081">
    <w:abstractNumId w:val="1"/>
  </w:num>
  <w:num w:numId="5" w16cid:durableId="787818056">
    <w:abstractNumId w:val="7"/>
  </w:num>
  <w:num w:numId="6" w16cid:durableId="1595360111">
    <w:abstractNumId w:val="8"/>
  </w:num>
  <w:num w:numId="7" w16cid:durableId="1192915527">
    <w:abstractNumId w:val="11"/>
  </w:num>
  <w:num w:numId="8" w16cid:durableId="212153842">
    <w:abstractNumId w:val="6"/>
  </w:num>
  <w:num w:numId="9" w16cid:durableId="1324042695">
    <w:abstractNumId w:val="0"/>
  </w:num>
  <w:num w:numId="10" w16cid:durableId="568998566">
    <w:abstractNumId w:val="3"/>
  </w:num>
  <w:num w:numId="11" w16cid:durableId="2029984731">
    <w:abstractNumId w:val="10"/>
  </w:num>
  <w:num w:numId="12" w16cid:durableId="1903714230">
    <w:abstractNumId w:val="4"/>
  </w:num>
  <w:num w:numId="13" w16cid:durableId="190653819">
    <w:abstractNumId w:val="2"/>
  </w:num>
  <w:num w:numId="14" w16cid:durableId="9155580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C1"/>
    <w:rsid w:val="000100A3"/>
    <w:rsid w:val="00024259"/>
    <w:rsid w:val="0005179C"/>
    <w:rsid w:val="00064B6E"/>
    <w:rsid w:val="00074162"/>
    <w:rsid w:val="000779DB"/>
    <w:rsid w:val="00077B7D"/>
    <w:rsid w:val="000B2D34"/>
    <w:rsid w:val="000B7A67"/>
    <w:rsid w:val="000C17C9"/>
    <w:rsid w:val="001038F3"/>
    <w:rsid w:val="00116A49"/>
    <w:rsid w:val="00122E33"/>
    <w:rsid w:val="00134D03"/>
    <w:rsid w:val="001407E5"/>
    <w:rsid w:val="00147874"/>
    <w:rsid w:val="00165C5F"/>
    <w:rsid w:val="00170347"/>
    <w:rsid w:val="00193B19"/>
    <w:rsid w:val="001A37AC"/>
    <w:rsid w:val="001E29C6"/>
    <w:rsid w:val="00210983"/>
    <w:rsid w:val="00215A87"/>
    <w:rsid w:val="00217ED6"/>
    <w:rsid w:val="002305B3"/>
    <w:rsid w:val="00251DBD"/>
    <w:rsid w:val="00252572"/>
    <w:rsid w:val="00277491"/>
    <w:rsid w:val="002900AE"/>
    <w:rsid w:val="002D4AB0"/>
    <w:rsid w:val="002D53E4"/>
    <w:rsid w:val="002F204F"/>
    <w:rsid w:val="003054AA"/>
    <w:rsid w:val="00314E25"/>
    <w:rsid w:val="00333810"/>
    <w:rsid w:val="00334205"/>
    <w:rsid w:val="00336228"/>
    <w:rsid w:val="00354FDB"/>
    <w:rsid w:val="00360645"/>
    <w:rsid w:val="00390576"/>
    <w:rsid w:val="003955A4"/>
    <w:rsid w:val="003A0804"/>
    <w:rsid w:val="003A2743"/>
    <w:rsid w:val="003D6943"/>
    <w:rsid w:val="003E70A7"/>
    <w:rsid w:val="00400774"/>
    <w:rsid w:val="00414CA1"/>
    <w:rsid w:val="00420990"/>
    <w:rsid w:val="004318E4"/>
    <w:rsid w:val="00436DD1"/>
    <w:rsid w:val="00437517"/>
    <w:rsid w:val="00487937"/>
    <w:rsid w:val="004C1B63"/>
    <w:rsid w:val="004C2E0E"/>
    <w:rsid w:val="005210DC"/>
    <w:rsid w:val="00564DC7"/>
    <w:rsid w:val="005A114D"/>
    <w:rsid w:val="005A7C50"/>
    <w:rsid w:val="005C4D0C"/>
    <w:rsid w:val="005E0C02"/>
    <w:rsid w:val="005E56F7"/>
    <w:rsid w:val="005E7949"/>
    <w:rsid w:val="0060619C"/>
    <w:rsid w:val="00612F28"/>
    <w:rsid w:val="00613320"/>
    <w:rsid w:val="0061337F"/>
    <w:rsid w:val="00627255"/>
    <w:rsid w:val="006310A3"/>
    <w:rsid w:val="00632010"/>
    <w:rsid w:val="00643E86"/>
    <w:rsid w:val="0065042E"/>
    <w:rsid w:val="006649DB"/>
    <w:rsid w:val="006649FD"/>
    <w:rsid w:val="006847CE"/>
    <w:rsid w:val="0069093D"/>
    <w:rsid w:val="006921A1"/>
    <w:rsid w:val="00697B8E"/>
    <w:rsid w:val="006A217A"/>
    <w:rsid w:val="006A7ECC"/>
    <w:rsid w:val="006B21BC"/>
    <w:rsid w:val="006B5164"/>
    <w:rsid w:val="006B7203"/>
    <w:rsid w:val="006B7ED3"/>
    <w:rsid w:val="006C50AC"/>
    <w:rsid w:val="0071242D"/>
    <w:rsid w:val="0071457A"/>
    <w:rsid w:val="00744E15"/>
    <w:rsid w:val="00766C64"/>
    <w:rsid w:val="00767C5E"/>
    <w:rsid w:val="0077391E"/>
    <w:rsid w:val="007A1985"/>
    <w:rsid w:val="007A6657"/>
    <w:rsid w:val="007B7013"/>
    <w:rsid w:val="007C2226"/>
    <w:rsid w:val="007C30B7"/>
    <w:rsid w:val="007C4A0E"/>
    <w:rsid w:val="007D295D"/>
    <w:rsid w:val="007E3798"/>
    <w:rsid w:val="007F5452"/>
    <w:rsid w:val="00803920"/>
    <w:rsid w:val="00805CE0"/>
    <w:rsid w:val="00810FDB"/>
    <w:rsid w:val="0081475E"/>
    <w:rsid w:val="0081489A"/>
    <w:rsid w:val="00816351"/>
    <w:rsid w:val="00851408"/>
    <w:rsid w:val="00853831"/>
    <w:rsid w:val="00873F4D"/>
    <w:rsid w:val="008765EF"/>
    <w:rsid w:val="00880105"/>
    <w:rsid w:val="008B014A"/>
    <w:rsid w:val="008B7901"/>
    <w:rsid w:val="008E0BB4"/>
    <w:rsid w:val="008E1E69"/>
    <w:rsid w:val="008E2ACF"/>
    <w:rsid w:val="008F0A90"/>
    <w:rsid w:val="008F7689"/>
    <w:rsid w:val="00913CCB"/>
    <w:rsid w:val="00914423"/>
    <w:rsid w:val="009344EB"/>
    <w:rsid w:val="00944783"/>
    <w:rsid w:val="00954D1B"/>
    <w:rsid w:val="009611DB"/>
    <w:rsid w:val="0098168E"/>
    <w:rsid w:val="00986D6A"/>
    <w:rsid w:val="009A56AC"/>
    <w:rsid w:val="009B02FE"/>
    <w:rsid w:val="009B2630"/>
    <w:rsid w:val="009B37E9"/>
    <w:rsid w:val="009B45B7"/>
    <w:rsid w:val="009C2428"/>
    <w:rsid w:val="009D7C42"/>
    <w:rsid w:val="009E4019"/>
    <w:rsid w:val="00A10475"/>
    <w:rsid w:val="00A30B57"/>
    <w:rsid w:val="00A5717F"/>
    <w:rsid w:val="00A908BF"/>
    <w:rsid w:val="00AA7C8E"/>
    <w:rsid w:val="00AB058B"/>
    <w:rsid w:val="00AC63A1"/>
    <w:rsid w:val="00AE0B49"/>
    <w:rsid w:val="00B31FD0"/>
    <w:rsid w:val="00B34EBC"/>
    <w:rsid w:val="00B543CE"/>
    <w:rsid w:val="00B60AE8"/>
    <w:rsid w:val="00B60E96"/>
    <w:rsid w:val="00B74338"/>
    <w:rsid w:val="00B841DF"/>
    <w:rsid w:val="00B86DBC"/>
    <w:rsid w:val="00BA3C6A"/>
    <w:rsid w:val="00BC0FAD"/>
    <w:rsid w:val="00BD26E1"/>
    <w:rsid w:val="00C25373"/>
    <w:rsid w:val="00C50941"/>
    <w:rsid w:val="00C62D13"/>
    <w:rsid w:val="00C73D93"/>
    <w:rsid w:val="00C8615A"/>
    <w:rsid w:val="00C92046"/>
    <w:rsid w:val="00C94DDB"/>
    <w:rsid w:val="00C95446"/>
    <w:rsid w:val="00CB2B63"/>
    <w:rsid w:val="00CC38F5"/>
    <w:rsid w:val="00CD6DF7"/>
    <w:rsid w:val="00CE52DE"/>
    <w:rsid w:val="00CF6503"/>
    <w:rsid w:val="00D00175"/>
    <w:rsid w:val="00D06706"/>
    <w:rsid w:val="00D1265B"/>
    <w:rsid w:val="00D14070"/>
    <w:rsid w:val="00D23A55"/>
    <w:rsid w:val="00D328C1"/>
    <w:rsid w:val="00D33525"/>
    <w:rsid w:val="00D407BE"/>
    <w:rsid w:val="00D45868"/>
    <w:rsid w:val="00D70642"/>
    <w:rsid w:val="00D81D8C"/>
    <w:rsid w:val="00DB7D8C"/>
    <w:rsid w:val="00DE2896"/>
    <w:rsid w:val="00E20EDA"/>
    <w:rsid w:val="00E25743"/>
    <w:rsid w:val="00E31662"/>
    <w:rsid w:val="00E40764"/>
    <w:rsid w:val="00E411AF"/>
    <w:rsid w:val="00E443E5"/>
    <w:rsid w:val="00E768C1"/>
    <w:rsid w:val="00E82C84"/>
    <w:rsid w:val="00EA2D43"/>
    <w:rsid w:val="00EA476E"/>
    <w:rsid w:val="00EA5B96"/>
    <w:rsid w:val="00EA63C0"/>
    <w:rsid w:val="00EA78D8"/>
    <w:rsid w:val="00EB1D77"/>
    <w:rsid w:val="00F20F5B"/>
    <w:rsid w:val="00F271FF"/>
    <w:rsid w:val="00F36112"/>
    <w:rsid w:val="00F47FA4"/>
    <w:rsid w:val="00F636DF"/>
    <w:rsid w:val="00F75D0B"/>
    <w:rsid w:val="00F7760E"/>
    <w:rsid w:val="00FB1C3D"/>
    <w:rsid w:val="00FC577C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C1CF"/>
  <w15:chartTrackingRefBased/>
  <w15:docId w15:val="{F44A9B07-2088-472D-AFBF-312FBA96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8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5807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196</cp:revision>
  <dcterms:created xsi:type="dcterms:W3CDTF">2025-05-08T15:07:00Z</dcterms:created>
  <dcterms:modified xsi:type="dcterms:W3CDTF">2025-05-16T15:13:00Z</dcterms:modified>
</cp:coreProperties>
</file>