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Endpoints and Systems Lab2</w:t>
      </w:r>
    </w:p>
    <w:p w:rsidR="00000000" w:rsidDel="00000000" w:rsidP="00000000" w:rsidRDefault="00000000" w:rsidRPr="00000000" w14:paraId="0000000B">
      <w:pPr>
        <w:bidi w:val="1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الأجهزة</w:t>
      </w:r>
      <w:r w:rsidDel="00000000" w:rsidR="00000000" w:rsidRPr="00000000">
        <w:rPr>
          <w:sz w:val="36"/>
          <w:szCs w:val="36"/>
          <w:rtl w:val="1"/>
        </w:rPr>
        <w:t xml:space="preserve">/</w:t>
      </w:r>
      <w:r w:rsidDel="00000000" w:rsidR="00000000" w:rsidRPr="00000000">
        <w:rPr>
          <w:sz w:val="36"/>
          <w:szCs w:val="36"/>
          <w:rtl w:val="1"/>
        </w:rPr>
        <w:t xml:space="preserve">النقاط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الطرفية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والأنظمة</w:t>
      </w:r>
      <w:r w:rsidDel="00000000" w:rsidR="00000000" w:rsidRPr="00000000">
        <w:rPr>
          <w:sz w:val="36"/>
          <w:szCs w:val="36"/>
          <w:rtl w:val="1"/>
        </w:rPr>
        <w:t xml:space="preserve"> - </w:t>
      </w:r>
      <w:r w:rsidDel="00000000" w:rsidR="00000000" w:rsidRPr="00000000">
        <w:rPr>
          <w:sz w:val="36"/>
          <w:szCs w:val="36"/>
          <w:rtl w:val="1"/>
        </w:rPr>
        <w:t xml:space="preserve">تطبيق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عملي</w:t>
      </w:r>
      <w:r w:rsidDel="00000000" w:rsidR="00000000" w:rsidRPr="00000000">
        <w:rPr>
          <w:sz w:val="36"/>
          <w:szCs w:val="36"/>
          <w:rtl w:val="1"/>
        </w:rPr>
        <w:t xml:space="preserve"> 2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center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إسماعيل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قطان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Prepared by: Ismail Muhammed Kattan</w:t>
      </w:r>
    </w:p>
    <w:p w:rsidR="00000000" w:rsidDel="00000000" w:rsidP="00000000" w:rsidRDefault="00000000" w:rsidRPr="00000000" w14:paraId="00000016">
      <w:pPr>
        <w:bidi w:val="1"/>
        <w:jc w:val="center"/>
        <w:rPr/>
      </w:pP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أكتوبر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تشرين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2025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Date: October, 2025 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4933950</wp:posOffset>
            </wp:positionH>
            <wp:positionV relativeFrom="page">
              <wp:posOffset>8075512</wp:posOffset>
            </wp:positionV>
            <wp:extent cx="1933005" cy="10668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005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8075512</wp:posOffset>
            </wp:positionV>
            <wp:extent cx="2017522" cy="106372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522" cy="10637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p1qld6jmc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LAB: Windows PowerShell for Security Analysts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dsea5y931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Objectives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PowerShell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السكربتات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PowerShell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Piping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PowerShell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hivnectjb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Part 1: Opening PowerShell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0qb8a45b7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الخطوات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Right Click → Run as Administrator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</w:t>
        <w:br w:type="textWrapping"/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PS C:\Windows\System32&gt;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exs8vkc7vf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0617fozfb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Part 2: Checking and Changing Execution Policy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1xt2ouwx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f6yt71zla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الأوامر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get-executionpolicy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🔸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Restricted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لتغييرها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set-executionpolicy RemoteSigned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nzmjrnh6s8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03nqgo862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Part 3: Exploring PowerShell Help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aykfad4pn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ووظائفها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l3f2pyvhs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الأوامر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get-help</w:t>
            </w:r>
          </w:p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get-help Get-Service -examples</w:t>
            </w:r>
          </w:p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get-help Get-Service -detailed</w:t>
            </w:r>
          </w:p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get-help Get-Service -full</w:t>
            </w:r>
          </w:p>
        </w:tc>
      </w:tr>
    </w:tbl>
    <w:p w:rsidR="00000000" w:rsidDel="00000000" w:rsidP="00000000" w:rsidRDefault="00000000" w:rsidRPr="00000000" w14:paraId="00000048">
      <w:pPr>
        <w:bidi w:val="1"/>
        <w:spacing w:after="240" w:before="240" w:lineRule="auto"/>
        <w:ind w:left="0" w:right="600" w:firstLine="72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more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بصفحة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get-help | more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gbad37sna5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aqyte7gaf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Part 4: Listing and Filtering Services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8o5d331nr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e0bc74a47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الأوامر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get-service | where-object {$_.status -eq "Running"} | more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l3riez7p7u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0vb6kztcr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🪟 Part 5: Using Out-GridView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amn16a4mm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وتصفيتها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nsdvoule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الأوامر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get-process | out-gridview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جرب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CPU(s)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ProcessName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Memory Usage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2wxifyubr8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1ooooxsn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Part 6: Importing and Running PowerShell Modules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4rtxsk5rz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paitole2v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المثال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import-module -name C:\Users\Administrator\Downloads\Get-NetworkStatistics.psm1 -verbose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Source Code Pro" w:cs="Source Code Pro" w:eastAsia="Source Code Pro" w:hAnsi="Source Code Pro"/>
                <w:color w:val="ffffff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Get-NetworkStatistics | format-table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omjqz3b2a4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3lkajp2b6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Part 7: Security Considerations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PowerShell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سكربتات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المشبوهة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get-process</w:t>
            </w:r>
          </w:p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get-service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