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F34"/>
          <w:sz w:val="32"/>
        </w:rPr>
        <w:t>PVMath — Data Sources &amp; Availability</w:t>
        <w:br/>
        <w:t>(Sales &amp; pilot briefing)</w:t>
      </w:r>
    </w:p>
    <w:p>
      <w:r>
        <w:t>Internal / customer-facing attachment for EPC and developer conversations. Explains what PVMath depends on, what paying customers receive, and honest limits when third-party APIs are disrupted. Not a contractual SLA — pair with the Pilot Subscription Agreement for paid pilots.</w:t>
      </w:r>
    </w:p>
    <w:p>
      <w:r>
        <w:t>Last updated: June 2026 · contact@pvmath.com · pvmath.com</w:t>
      </w:r>
    </w:p>
    <w:p>
      <w:pPr>
        <w:pStyle w:val="Heading1"/>
      </w:pPr>
      <w:r>
        <w:t>1. Executive summary</w:t>
      </w:r>
    </w:p>
    <w:p>
      <w:r>
        <w:t>PVMath (SiteIQ, TopoIQ, YieldIQ) is a screening and workflow layer on top of public scientific datasets that the solar industry already uses — principally PVGIS (EU JRC) for irradiance and yield, Copernicus GLO-30 (via AWS Terrarium tiles) and SRTM/EU-DEM (OpenTopoData) for terrain. PVMath does not host or mirror those datasets today.</w:t>
      </w:r>
    </w:p>
    <w:p>
      <w:r>
        <w:t>Paying customers buy integrated analysis, saved projects, PDF/CAD outputs, pooled usage limits, and support — not guaranteed uptime of EU or AWS infrastructure. Outputs remain screening-grade (pre-survey, pre-bankable), as stated on reports and in the pilot agreement.</w:t>
      </w:r>
    </w:p>
    <w:p>
      <w:pPr>
        <w:pStyle w:val="Heading1"/>
      </w:pPr>
      <w:r>
        <w:t>2. External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Used for</w:t>
            </w:r>
          </w:p>
        </w:tc>
        <w:tc>
          <w:tcPr>
            <w:tcW w:type="dxa" w:w="2160"/>
          </w:tcPr>
          <w:p>
            <w:r>
              <w:t>Operator</w:t>
            </w:r>
          </w:p>
        </w:tc>
        <w:tc>
          <w:tcPr>
            <w:tcW w:type="dxa" w:w="2160"/>
          </w:tcPr>
          <w:p>
            <w:r>
              <w:t>PVMath status today</w:t>
            </w:r>
          </w:p>
        </w:tc>
      </w:tr>
      <w:tr>
        <w:tc>
          <w:tcPr>
            <w:tcW w:type="dxa" w:w="2160"/>
          </w:tcPr>
          <w:p>
            <w:r>
              <w:t>PVGIS (JRC / EU Commission)</w:t>
            </w:r>
          </w:p>
        </w:tc>
        <w:tc>
          <w:tcPr>
            <w:tcW w:type="dxa" w:w="2160"/>
          </w:tcPr>
          <w:p>
            <w:r>
              <w:t>Solar resource, YieldIQ, SiteIQ capacity context</w:t>
            </w:r>
          </w:p>
        </w:tc>
        <w:tc>
          <w:tcPr>
            <w:tcW w:type="dxa" w:w="2160"/>
          </w:tcPr>
          <w:p>
            <w:r>
              <w:t>Public EU research API</w:t>
            </w:r>
          </w:p>
        </w:tc>
        <w:tc>
          <w:tcPr>
            <w:tcW w:type="dxa" w:w="2160"/>
          </w:tcPr>
          <w:p>
            <w:r>
              <w:t>Primary; automatic fallback to PVGIS-ERA5 when primary DB unavailable</w:t>
            </w:r>
          </w:p>
        </w:tc>
      </w:tr>
      <w:tr>
        <w:tc>
          <w:tcPr>
            <w:tcW w:type="dxa" w:w="2160"/>
          </w:tcPr>
          <w:p>
            <w:r>
              <w:t>Copernicus GLO-30 via AWS Terrarium</w:t>
            </w:r>
          </w:p>
        </w:tc>
        <w:tc>
          <w:tcPr>
            <w:tcW w:type="dxa" w:w="2160"/>
          </w:tcPr>
          <w:p>
            <w:r>
              <w:t>TopoIQ DEM, slope maps, CAD exports</w:t>
            </w:r>
          </w:p>
        </w:tc>
        <w:tc>
          <w:tcPr>
            <w:tcW w:type="dxa" w:w="2160"/>
          </w:tcPr>
          <w:p>
            <w:r>
              <w:t>AWS open elevation tile CDN</w:t>
            </w:r>
          </w:p>
        </w:tc>
        <w:tc>
          <w:tcPr>
            <w:tcW w:type="dxa" w:w="2160"/>
          </w:tcPr>
          <w:p>
            <w:r>
              <w:t>Single live source; partial tile failure tolerated; no mirror archive</w:t>
            </w:r>
          </w:p>
        </w:tc>
      </w:tr>
      <w:tr>
        <w:tc>
          <w:tcPr>
            <w:tcW w:type="dxa" w:w="2160"/>
          </w:tcPr>
          <w:p>
            <w:r>
              <w:t>OpenTopoData (EU-DEM 25 m / SRTM 30 m)</w:t>
            </w:r>
          </w:p>
        </w:tc>
        <w:tc>
          <w:tcPr>
            <w:tcW w:type="dxa" w:w="2160"/>
          </w:tcPr>
          <w:p>
            <w:r>
              <w:t>SiteIQ quick terrain (pin mode)</w:t>
            </w:r>
          </w:p>
        </w:tc>
        <w:tc>
          <w:tcPr>
            <w:tcW w:type="dxa" w:w="2160"/>
          </w:tcPr>
          <w:p>
            <w:r>
              <w:t>Public API</w:t>
            </w:r>
          </w:p>
        </w:tc>
        <w:tc>
          <w:tcPr>
            <w:tcW w:type="dxa" w:w="2160"/>
          </w:tcPr>
          <w:p>
            <w:r>
              <w:t>Single source; dataset chosen by coordinates</w:t>
            </w:r>
          </w:p>
        </w:tc>
      </w:tr>
      <w:tr>
        <w:tc>
          <w:tcPr>
            <w:tcW w:type="dxa" w:w="2160"/>
          </w:tcPr>
          <w:p>
            <w:r>
              <w:t>Nominatim / OpenStreetMap</w:t>
            </w:r>
          </w:p>
        </w:tc>
        <w:tc>
          <w:tcPr>
            <w:tcW w:type="dxa" w:w="2160"/>
          </w:tcPr>
          <w:p>
            <w:r>
              <w:t>Place search, location labels on reports</w:t>
            </w:r>
          </w:p>
        </w:tc>
        <w:tc>
          <w:tcPr>
            <w:tcW w:type="dxa" w:w="2160"/>
          </w:tcPr>
          <w:p>
            <w:r>
              <w:t>Public geocoding</w:t>
            </w:r>
          </w:p>
        </w:tc>
        <w:tc>
          <w:tcPr>
            <w:tcW w:type="dxa" w:w="2160"/>
          </w:tcPr>
          <w:p>
            <w:r>
              <w:t>Non-critical; analysis works from coordinates alone</w:t>
            </w:r>
          </w:p>
        </w:tc>
      </w:tr>
      <w:tr>
        <w:tc>
          <w:tcPr>
            <w:tcW w:type="dxa" w:w="2160"/>
          </w:tcPr>
          <w:p>
            <w:r>
              <w:t>Google map tiles</w:t>
            </w:r>
          </w:p>
        </w:tc>
        <w:tc>
          <w:tcPr>
            <w:tcW w:type="dxa" w:w="2160"/>
          </w:tcPr>
          <w:p>
            <w:r>
              <w:t>Map display in Project Setup</w:t>
            </w:r>
          </w:p>
        </w:tc>
        <w:tc>
          <w:tcPr>
            <w:tcW w:type="dxa" w:w="2160"/>
          </w:tcPr>
          <w:p>
            <w:r>
              <w:t>Google</w:t>
            </w:r>
          </w:p>
        </w:tc>
        <w:tc>
          <w:tcPr>
            <w:tcW w:type="dxa" w:w="2160"/>
          </w:tcPr>
          <w:p>
            <w:r>
              <w:t>Display only — not used in calculations</w:t>
            </w:r>
          </w:p>
        </w:tc>
      </w:tr>
    </w:tbl>
    <w:p/>
    <w:p>
      <w:pPr>
        <w:pStyle w:val="Heading1"/>
      </w:pPr>
      <w:r>
        <w:t>3. What resilience exists today</w:t>
      </w:r>
    </w:p>
    <w:p>
      <w:pPr>
        <w:pStyle w:val="ListBullet"/>
      </w:pPr>
      <w:r>
        <w:t>Solar / yield: PVGIS-ERA5 fallback implemented in production code when the preferred radiation database fails for a site.</w:t>
      </w:r>
    </w:p>
    <w:p>
      <w:pPr>
        <w:pStyle w:val="ListBullet"/>
      </w:pPr>
      <w:r>
        <w:t>TopoIQ: individual DEM tiles that fail or time out are skipped (nodata) rather than crashing the whole run; georeferencing is preserved.</w:t>
      </w:r>
    </w:p>
    <w:p>
      <w:pPr>
        <w:pStyle w:val="ListBullet"/>
      </w:pPr>
      <w:r>
        <w:t>TopoIQ → SiteIQ cache: after a successful TopoIQ run on a saved project boundary, SiteIQ can reuse confirmed GLO-30 terrain from cache — repeat screening does not always need live tiles.</w:t>
      </w:r>
    </w:p>
    <w:p>
      <w:pPr>
        <w:pStyle w:val="ListBullet"/>
      </w:pPr>
      <w:r>
        <w:t>PDF disclaimers: all modules label outputs as screening-grade, not survey or bankable yield.</w:t>
      </w:r>
    </w:p>
    <w:p>
      <w:pPr>
        <w:pStyle w:val="ListBullet"/>
      </w:pPr>
      <w:r>
        <w:t>Platform: app hosted on Railway; auth and projects on Supabase — separate from scientific data APIs.</w:t>
      </w:r>
    </w:p>
    <w:p>
      <w:pPr>
        <w:pStyle w:val="Heading1"/>
      </w:pPr>
      <w:r>
        <w:t>4. What we do not guarantee today</w:t>
      </w:r>
    </w:p>
    <w:p>
      <w:pPr>
        <w:pStyle w:val="ListBullet"/>
      </w:pPr>
      <w:r>
        <w:t>Third-party API uptime (PVGIS, AWS Terrarium, OpenTopoData, Nominatim).</w:t>
      </w:r>
    </w:p>
    <w:p>
      <w:pPr>
        <w:pStyle w:val="ListBullet"/>
      </w:pPr>
      <w:r>
        <w:t>Continuous availability of TopoIQ during a multi-day AWS elevation tile outage.</w:t>
      </w:r>
    </w:p>
    <w:p>
      <w:pPr>
        <w:pStyle w:val="ListBullet"/>
      </w:pPr>
      <w:r>
        <w:t>That cached terrain replaces the need for a fresh TopoIQ run when boundaries change.</w:t>
      </w:r>
    </w:p>
    <w:p>
      <w:pPr>
        <w:pStyle w:val="ListBullet"/>
      </w:pPr>
      <w:r>
        <w:t>Enterprise SLA on data providers — only the PVMath application layer can be addressed in future enterprise contracts.</w:t>
      </w:r>
    </w:p>
    <w:p>
      <w:pPr>
        <w:pStyle w:val="Heading1"/>
      </w:pPr>
      <w:r>
        <w:t>5. Scenario: AWS elevation tiles unavailable ~48 hours</w:t>
      </w:r>
    </w:p>
    <w:p>
      <w:r>
        <w:t>Honest customer answer:</w:t>
      </w:r>
    </w:p>
    <w:p>
      <w:r>
        <w:t>“PVMath stays online, but TopoIQ terrain extraction and any new analysis that requires live Copernicus/AWS DEM tiles will fail or be incomplete until the tile service recovers. SiteIQ solar screening and YieldIQ may still work if PVGIS is available. PDFs and CAD files already downloaded remain with the customer. We do not delete completed work. This is the same dependency any team faces when calling public APIs directly — PVMath adds workflow and reports on top, not a private DEM archive.”</w:t>
      </w:r>
    </w:p>
    <w:p>
      <w:pPr>
        <w:pStyle w:val="Heading1"/>
      </w:pPr>
      <w:r>
        <w:t>6. What paying customers are buying</w:t>
      </w:r>
    </w:p>
    <w:tbl>
      <w:tblPr>
        <w:tblStyle w:val="TableGrid"/>
        <w:tblW w:type="auto" w:w="0"/>
        <w:tblLook w:firstColumn="1" w:firstRow="1" w:lastColumn="0" w:lastRow="0" w:noHBand="0" w:noVBand="1" w:val="04A0"/>
      </w:tblPr>
      <w:tblGrid>
        <w:gridCol w:w="4320"/>
        <w:gridCol w:w="4320"/>
      </w:tblGrid>
      <w:tr>
        <w:tc>
          <w:tcPr>
            <w:tcW w:type="dxa" w:w="4320"/>
          </w:tcPr>
          <w:p>
            <w:r>
              <w:t>Self-serve / free tier</w:t>
            </w:r>
          </w:p>
        </w:tc>
        <w:tc>
          <w:tcPr>
            <w:tcW w:type="dxa" w:w="4320"/>
          </w:tcPr>
          <w:p>
            <w:r>
              <w:t>Professional / Developer (paid pilot)</w:t>
            </w:r>
          </w:p>
        </w:tc>
      </w:tr>
      <w:tr>
        <w:tc>
          <w:tcPr>
            <w:tcW w:type="dxa" w:w="4320"/>
          </w:tcPr>
          <w:p>
            <w:r>
              <w:t>Same underlying open data</w:t>
            </w:r>
          </w:p>
        </w:tc>
        <w:tc>
          <w:tcPr>
            <w:tcW w:type="dxa" w:w="4320"/>
          </w:tcPr>
          <w:p>
            <w:r>
              <w:t>Pooled analyses (75 / 300 per month), team seats</w:t>
            </w:r>
          </w:p>
        </w:tc>
      </w:tr>
      <w:tr>
        <w:tc>
          <w:tcPr>
            <w:tcW w:type="dxa" w:w="4320"/>
          </w:tcPr>
          <w:p>
            <w:r>
              <w:t>Manual PVGIS + GIS workflow</w:t>
            </w:r>
          </w:p>
        </w:tc>
        <w:tc>
          <w:tcPr>
            <w:tcW w:type="dxa" w:w="4320"/>
          </w:tcPr>
          <w:p>
            <w:r>
              <w:t>Integrated SiteIQ + TopoIQ + YieldIQ pipeline</w:t>
            </w:r>
          </w:p>
        </w:tc>
      </w:tr>
      <w:tr>
        <w:tc>
          <w:tcPr>
            <w:tcW w:type="dxa" w:w="4320"/>
          </w:tcPr>
          <w:p>
            <w:r>
              <w:t>No support channel</w:t>
            </w:r>
          </w:p>
        </w:tc>
        <w:tc>
          <w:tcPr>
            <w:tcW w:type="dxa" w:w="4320"/>
          </w:tcPr>
          <w:p>
            <w:r>
              <w:t>contact@pvmath.com, pilot agreement, manual activation</w:t>
            </w:r>
          </w:p>
        </w:tc>
      </w:tr>
      <w:tr>
        <w:tc>
          <w:tcPr>
            <w:tcW w:type="dxa" w:w="4320"/>
          </w:tcPr>
          <w:p>
            <w:r>
              <w:t>—</w:t>
            </w:r>
          </w:p>
        </w:tc>
        <w:tc>
          <w:tcPr>
            <w:tcW w:type="dxa" w:w="4320"/>
          </w:tcPr>
          <w:p>
            <w:r>
              <w:t>Saved projects, PDF reports, CAD/LandXML exports</w:t>
            </w:r>
          </w:p>
        </w:tc>
      </w:tr>
    </w:tbl>
    <w:p/>
    <w:p>
      <w:pPr>
        <w:pStyle w:val="Heading1"/>
      </w:pPr>
      <w:r>
        <w:t>7. Roadmap (direction — not live promises)</w:t>
      </w:r>
    </w:p>
    <w:p>
      <w:pPr>
        <w:pStyle w:val="ListBullet"/>
      </w:pPr>
      <w:r>
        <w:t>In-app status when PVGIS / tiles / OpenTopoData fail; retries with backoff.</w:t>
      </w:r>
    </w:p>
    <w:p>
      <w:pPr>
        <w:pStyle w:val="ListBullet"/>
      </w:pPr>
      <w:r>
        <w:t>Optional OpenTopoData fallback for TopoIQ when Terrarium is down (lower resolution, analysis continues).</w:t>
      </w:r>
    </w:p>
    <w:p>
      <w:pPr>
        <w:pStyle w:val="ListBullet"/>
      </w:pPr>
      <w:r>
        <w:t>Enterprise: SLA on PVMath platform availability and support response — not on JRC/AWS.</w:t>
      </w:r>
    </w:p>
    <w:p>
      <w:pPr>
        <w:pStyle w:val="ListBullet"/>
      </w:pPr>
      <w:r>
        <w:t>Longer term: selective caching or licensed mirrors only if customer demand justifies cost.</w:t>
      </w:r>
    </w:p>
    <w:p>
      <w:pPr>
        <w:pStyle w:val="Heading1"/>
      </w:pPr>
      <w:r>
        <w:t>8. Suggested one-paragraph reply (email / call)</w:t>
      </w:r>
    </w:p>
    <w:p>
      <w:r>
        <w:rPr>
          <w:i/>
        </w:rPr>
        <w:t>“PVMath sits on the same open scientific stack the industry already trusts — PVGIS for irradiance, Copernicus/SRTM for terrain — and adds workflow, reports, and project context on top. We are transparent that we do not control those APIs: if PVGIS or AWS elevation tiles have an outage, affected modules pause until they recover, the same as if you called those APIs yourself. What you pay for is integrated screening across SiteIQ, TopoIQ, and YieldIQ, saved projects, PDF/CAD outputs, and support — plus we already fall back solar to ERA5 and cache TopoIQ terrain for reuse on the same boundary. Enterprise can include platform SLA and a defined response when third-party data is disrupted; we are not claiming to replace LiDAR survey or a private weather feed.”</w:t>
      </w:r>
    </w:p>
    <w:p>
      <w:pPr>
        <w:pStyle w:val="Heading1"/>
      </w:pPr>
      <w:r>
        <w:t>9. Knowledge Centre — optional public page</w:t>
      </w:r>
    </w:p>
    <w:p>
      <w:r>
        <w:t>Recommendation: keep this Word document for sales, pilots, and email attachments. Add a shorter public page later (e.g. guides/data-sources.html) if prospects ask repeatedly — trim sections 4–5 to customer-friendly language; do not publish internal roadmap details. A public page builds trust; this document carries the full talking points.</w:t>
      </w:r>
    </w:p>
    <w:p/>
    <w:p>
      <w:r>
        <w:rPr>
          <w:sz w:val="18"/>
        </w:rPr>
        <w:t>Regenerate: python3 scripts/generate_data_reliability_doc.py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