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5F34"/>
          <w:sz w:val="32"/>
        </w:rPr>
        <w:t>PVMath — Pilot Subscription Agreement</w:t>
        <w:br/>
        <w:t>(Early Access)</w:t>
      </w:r>
    </w:p>
    <w:p>
      <w:r>
        <w:t>Fill in [brackets]. Bilingual DE/EN for reference — legal version to be confirmed with Steuerberater.</w:t>
      </w:r>
    </w:p>
    <w:p/>
    <w:p>
      <w:pPr>
        <w:pStyle w:val="Heading2"/>
      </w:pPr>
      <w:r>
        <w:t>1. Parties</w:t>
      </w:r>
    </w:p>
    <w:p>
      <w:pPr>
        <w:pStyle w:val="ListBullet"/>
      </w:pPr>
      <w:r>
        <w:t>Provider: [Mohammed Ismail Pasha / later: PVMath UG (haftungsbeschränkt)], [Address], Germany, contact@pvmath.com</w:t>
      </w:r>
    </w:p>
    <w:p>
      <w:pPr>
        <w:pStyle w:val="ListBullet"/>
      </w:pPr>
      <w:r>
        <w:t>Customer: [Company legal name], [Address], [Country], [Billing contact email]</w:t>
      </w:r>
    </w:p>
    <w:p>
      <w:pPr>
        <w:pStyle w:val="Heading2"/>
      </w:pPr>
      <w:r>
        <w:t>2. Service</w:t>
      </w:r>
    </w:p>
    <w:p>
      <w:pPr>
        <w:pStyle w:val="ListBullet"/>
      </w:pPr>
      <w:r>
        <w:t>Access to the PVMath Solar Site Intelligence Platform (SiteIQ, TopoIQ, YieldIQ) at siteiq.pvmath.com during Early Access.</w:t>
      </w:r>
    </w:p>
    <w:p>
      <w:pPr>
        <w:pStyle w:val="ListBullet"/>
      </w:pPr>
      <w:r>
        <w:t>Outputs are screening-grade only — not bankable yield, not survey-grade terrain, not a substitute for LiDAR, PVsyst, or lender sign-off.</w:t>
      </w:r>
    </w:p>
    <w:p>
      <w:pPr>
        <w:pStyle w:val="Heading2"/>
      </w:pPr>
      <w:r>
        <w:t>3. Plan &amp; limits</w:t>
      </w:r>
    </w:p>
    <w:p>
      <w:pPr>
        <w:pStyle w:val="ListBullet"/>
      </w:pPr>
      <w:r>
        <w:t>Plan: [ ] Professional (€149/month)  [ ] Developer (€499/month)</w:t>
      </w:r>
    </w:p>
    <w:p>
      <w:pPr>
        <w:pStyle w:val="ListBullet"/>
      </w:pPr>
      <w:r>
        <w:t>Professional: 75 analyses per calendar month, shared across SiteIQ, TopoIQ, and YieldIQ.</w:t>
      </w:r>
    </w:p>
    <w:p>
      <w:pPr>
        <w:pStyle w:val="ListBullet"/>
      </w:pPr>
      <w:r>
        <w:t>Developer: 300 analyses per calendar month, shared team pool (up to 5 seats).</w:t>
      </w:r>
    </w:p>
    <w:p>
      <w:pPr>
        <w:pStyle w:val="ListBullet"/>
      </w:pPr>
      <w:r>
        <w:t>Limits reset on the 1st of each month (UTC). Unused analyses do not roll over.</w:t>
      </w:r>
    </w:p>
    <w:p>
      <w:pPr>
        <w:pStyle w:val="Heading2"/>
      </w:pPr>
      <w:r>
        <w:t>4. Term &amp; payment</w:t>
      </w:r>
    </w:p>
    <w:p>
      <w:pPr>
        <w:pStyle w:val="ListBullet"/>
      </w:pPr>
      <w:r>
        <w:t>Pilot term: [3] months from activation date [DD.MM.YYYY].</w:t>
      </w:r>
    </w:p>
    <w:p>
      <w:pPr>
        <w:pStyle w:val="ListBullet"/>
      </w:pPr>
      <w:r>
        <w:t>Payment: bank transfer (SEPA) to [IBAN] within [14] days of this agreement / proforma invoice.</w:t>
      </w:r>
    </w:p>
    <w:p>
      <w:pPr>
        <w:pStyle w:val="ListBullet"/>
      </w:pPr>
      <w:r>
        <w:t>Reference: PVMath-[Customer short name]-[YYYY-MM].</w:t>
      </w:r>
    </w:p>
    <w:p>
      <w:pPr>
        <w:pStyle w:val="ListBullet"/>
      </w:pPr>
      <w:r>
        <w:t>VAT: [19% USt if applicable / reverse charge if EU B2B with valid USt-IdNr.]</w:t>
      </w:r>
    </w:p>
    <w:p>
      <w:pPr>
        <w:pStyle w:val="Heading2"/>
      </w:pPr>
      <w:r>
        <w:t>5. Activation</w:t>
      </w:r>
    </w:p>
    <w:p>
      <w:pPr>
        <w:pStyle w:val="ListBullet"/>
      </w:pPr>
      <w:r>
        <w:t>Customer creates user account(s) at siteiq.pvmath.com.</w:t>
      </w:r>
    </w:p>
    <w:p>
      <w:pPr>
        <w:pStyle w:val="ListBullet"/>
      </w:pPr>
      <w:r>
        <w:t>Provider activates plan within 2 business days of cleared payment.</w:t>
      </w:r>
    </w:p>
    <w:p>
      <w:pPr>
        <w:pStyle w:val="ListBullet"/>
      </w:pPr>
      <w:r>
        <w:t>Login email(s) for activation: [list emails]</w:t>
      </w:r>
    </w:p>
    <w:p>
      <w:pPr>
        <w:pStyle w:val="Heading2"/>
      </w:pPr>
      <w:r>
        <w:t>6. Data &amp; confidentiality</w:t>
      </w:r>
    </w:p>
    <w:p>
      <w:pPr>
        <w:pStyle w:val="ListBullet"/>
      </w:pPr>
      <w:r>
        <w:t>Customer retains ownership of uploaded boundaries/KMZ and project data.</w:t>
      </w:r>
    </w:p>
    <w:p>
      <w:pPr>
        <w:pStyle w:val="ListBullet"/>
      </w:pPr>
      <w:r>
        <w:t>Provider processes data per privacy policy at pvmath.com/privacy.html.</w:t>
      </w:r>
    </w:p>
    <w:p>
      <w:pPr>
        <w:pStyle w:val="ListBullet"/>
      </w:pPr>
      <w:r>
        <w:t>Optional: separate AVV/DPA on request for enterprise customers.</w:t>
      </w:r>
    </w:p>
    <w:p>
      <w:pPr>
        <w:pStyle w:val="Heading2"/>
      </w:pPr>
      <w:r>
        <w:t>7. Liability</w:t>
      </w:r>
    </w:p>
    <w:p>
      <w:pPr>
        <w:pStyle w:val="ListBullet"/>
      </w:pPr>
      <w:r>
        <w:t>Provider liability is limited to fees paid in the 12 months preceding a claim, except where mandatory law applies.</w:t>
      </w:r>
    </w:p>
    <w:p>
      <w:pPr>
        <w:pStyle w:val="ListBullet"/>
      </w:pPr>
      <w:r>
        <w:t>Customer confirms outputs are for internal go/no-go screening only.</w:t>
      </w:r>
    </w:p>
    <w:p>
      <w:pPr>
        <w:pStyle w:val="Heading2"/>
      </w:pPr>
      <w:r>
        <w:t>8. Entity change</w:t>
      </w:r>
    </w:p>
    <w:p>
      <w:pPr>
        <w:pStyle w:val="ListBullet"/>
      </w:pPr>
      <w:r>
        <w:t>If Provider incorporates as PVMath UG (haftungsbeschränkt), this agreement continues unchanged; invoices will be reissued in the company name upon Handelsregister entry.</w:t>
      </w:r>
    </w:p>
    <w:p>
      <w:pPr>
        <w:pStyle w:val="Heading2"/>
      </w:pPr>
      <w:r>
        <w:t>9. Cancellation</w:t>
      </w:r>
    </w:p>
    <w:p>
      <w:pPr>
        <w:pStyle w:val="ListBullet"/>
      </w:pPr>
      <w:r>
        <w:t>Either party may cancel at end of pilot term with [30] days written notice.</w:t>
      </w:r>
    </w:p>
    <w:p>
      <w:pPr>
        <w:pStyle w:val="ListBullet"/>
      </w:pPr>
      <w:r>
        <w:t>No automatic renewal until Stripe or formal subscription is in place.</w:t>
      </w:r>
    </w:p>
    <w:p>
      <w:pPr>
        <w:pStyle w:val="Heading2"/>
      </w:pPr>
      <w:r>
        <w:t>10. Signatures</w:t>
      </w:r>
    </w:p>
    <w:p>
      <w:pPr>
        <w:pStyle w:val="ListBullet"/>
      </w:pPr>
      <w:r>
        <w:t>Provider: _________________________  Date: __________  Mohammed Ismail Pasha</w:t>
      </w:r>
    </w:p>
    <w:p>
      <w:pPr>
        <w:pStyle w:val="ListBullet"/>
      </w:pPr>
      <w:r>
        <w:t>Customer: _________________________  Date: __________  Name / Title</w:t>
      </w:r>
    </w:p>
    <w:p>
      <w:r>
        <w:br w:type="page"/>
      </w:r>
    </w:p>
    <w:p>
      <w:pPr>
        <w:pStyle w:val="Heading1"/>
      </w:pPr>
      <w:r>
        <w:t>Deutsch — Kurzfassung (Referenz)</w:t>
      </w:r>
    </w:p>
    <w:p>
      <w:r>
        <w:t>Pilot-Zugang zu PVMath (SiteIQ, TopoIQ, YieldIQ). Screening-Qualität, keine Bankfähigkeit. Professional: 75 Analysen/Monat gesamt. Developer: 300/Monat Team-Pool. Freischaltung nach Zahlungseingang. Bei UG-Gründung nahtlose Fortführung.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