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PROFORMA INVOICE / PROFORMARECHNUNG</w:t>
      </w:r>
    </w:p>
    <w:p/>
    <w:p>
      <w:r>
        <w:rPr>
          <w:b/>
        </w:rPr>
        <w:t>Invoice no.</w:t>
        <w:br/>
      </w:r>
      <w:r>
        <w:t>PV-[YYYY-MM]-[001]</w:t>
      </w:r>
    </w:p>
    <w:p>
      <w:r>
        <w:rPr>
          <w:b/>
        </w:rPr>
        <w:t>Date</w:t>
        <w:br/>
      </w:r>
      <w:r>
        <w:t>[DD.MM.YYYY]</w:t>
      </w:r>
    </w:p>
    <w:p>
      <w:r>
        <w:rPr>
          <w:b/>
        </w:rPr>
        <w:t>Due date</w:t>
        <w:br/>
      </w:r>
      <w:r>
        <w:t>[DD.MM.YYYY] (+14 days)</w:t>
      </w:r>
    </w:p>
    <w:p>
      <w:r>
        <w:rPr>
          <w:b w:val="0"/>
        </w:rPr>
        <w:br/>
      </w:r>
      <w:r/>
    </w:p>
    <w:p>
      <w:r>
        <w:rPr>
          <w:b/>
        </w:rPr>
        <w:t>From / Rechnungssteller</w:t>
        <w:br/>
      </w:r>
      <w:r>
        <w:t>[Mohammed Ismail Pasha]</w:t>
        <w:br/>
        <w:t>[Street]</w:t>
        <w:br/>
        <w:t>[PLZ City, Germany]</w:t>
        <w:br/>
        <w:t>contact@pvmath.com</w:t>
        <w:br/>
        <w:t>[Steuernummer when available]</w:t>
        <w:br/>
        <w:t>[USt-IdNr. when available]</w:t>
      </w:r>
    </w:p>
    <w:p>
      <w:r>
        <w:rPr>
          <w:b/>
        </w:rPr>
        <w:t>Bill to / Rechnungsempfänger</w:t>
        <w:br/>
      </w:r>
      <w:r>
        <w:t>[Company name]</w:t>
        <w:br/>
        <w:t>[Address]</w:t>
        <w:br/>
        <w:t>[USt-IdNr. if EU B2B]</w:t>
      </w:r>
    </w:p>
    <w:p>
      <w:r>
        <w:rPr>
          <w:b w:val="0"/>
        </w:rPr>
        <w:br/>
      </w:r>
      <w:r/>
    </w:p>
    <w:p>
      <w:pPr>
        <w:pStyle w:val="Heading2"/>
      </w:pPr>
      <w:r>
        <w:t>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Net (€)</w:t>
            </w:r>
          </w:p>
        </w:tc>
        <w:tc>
          <w:tcPr>
            <w:tcW w:type="dxa" w:w="2160"/>
          </w:tcPr>
          <w:p>
            <w:r>
              <w:t>VAT</w:t>
            </w:r>
          </w:p>
        </w:tc>
      </w:tr>
      <w:tr>
        <w:tc>
          <w:tcPr>
            <w:tcW w:type="dxa" w:w="2160"/>
          </w:tcPr>
          <w:p>
            <w:r>
              <w:t>PVMath Professional — Early Access pilot (75 analyses/month pooled)</w:t>
            </w:r>
          </w:p>
        </w:tc>
        <w:tc>
          <w:tcPr>
            <w:tcW w:type="dxa" w:w="2160"/>
          </w:tcPr>
          <w:p>
            <w:r>
              <w:t>[Month YYYY-MM]</w:t>
            </w:r>
          </w:p>
        </w:tc>
        <w:tc>
          <w:tcPr>
            <w:tcW w:type="dxa" w:w="2160"/>
          </w:tcPr>
          <w:p>
            <w:r>
              <w:t>149.00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PVMath Developer — Early Access pilot (300/month team pool, 5 seats)</w:t>
            </w:r>
          </w:p>
        </w:tc>
        <w:tc>
          <w:tcPr>
            <w:tcW w:type="dxa" w:w="2160"/>
          </w:tcPr>
          <w:p>
            <w:r>
              <w:t>[Month YYYY-MM]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/>
    <w:p>
      <w:r>
        <w:t>Subtotal (net): €[amount]</w:t>
      </w:r>
    </w:p>
    <w:p>
      <w:r>
        <w:t>VAT 19%: €[amount]  (or: Reverse charge — Art. 196 EU VAT Directive)</w:t>
      </w:r>
    </w:p>
    <w:p>
      <w:r>
        <w:t>Total due: €[amount]</w:t>
      </w:r>
    </w:p>
    <w:p/>
    <w:p>
      <w:r>
        <w:t>Payment: SEPA bank transfer</w:t>
      </w:r>
    </w:p>
    <w:p>
      <w:r>
        <w:t>IBAN: [DE…]</w:t>
      </w:r>
    </w:p>
    <w:p>
      <w:r>
        <w:t>BIC: […]</w:t>
      </w:r>
    </w:p>
    <w:p>
      <w:r>
        <w:t>Reference: PVMath-[Customer]-[YYYY-MM]</w:t>
      </w:r>
    </w:p>
    <w:p/>
    <w:p>
      <w:r>
        <w:t>Service activation within 2 business days of payment. Screening-grade outputs only. Terms: pvmath.com/terms.html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