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4"/>
              </w:rPr>
              <w:t>TARGET INTERNATIONAL SCHOOL — YUNUSOBOD</w:t>
              <w:br/>
            </w:r>
            <w:r>
              <w:rPr>
                <w:b/>
                <w:color w:val="0284C7"/>
                <w:sz w:val="22"/>
              </w:rPr>
              <w:t>GRADES 10–11: VIBECODING SENIOR ENGINEERING, AUTONOMOUS AGENTS &amp; LLM ARCHITECTURE</w:t>
              <w:br/>
            </w:r>
            <w:r>
              <w:rPr>
                <w:color w:val="64748B"/>
                <w:sz w:val="19"/>
              </w:rPr>
              <w:t>Senior AI Engineering &amp; Vibecoding Track · Instructor: Ismoiljon Usmonov · Academic Year 2026–2027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Student Full Name: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Grade / Section: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Date: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Variant: </w:t>
            </w:r>
            <w:r>
              <w:t>Variant 1 (Official)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Maximum Score: </w:t>
            </w:r>
            <w:r>
              <w:t>25 pts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Final Score: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9"/>
        </w:rPr>
        <w:t>Instructions: For each question, choose and mark exactly ONE correct answer from the 5 options (A, B, C, D, E). Each correct answer is awarded 1 point (Total: 25 points).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1. </w:t>
      </w:r>
      <w:r>
        <w:rPr>
          <w:b/>
          <w:color w:val="0F172A"/>
          <w:sz w:val="21"/>
        </w:rPr>
        <w:t>According to Week 1 Lesson 02, how does the modern 'Vibecoding' paradigm fundamentally redefine the role of a Senior Software Engineer?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Engineers no longer write any documentation and allow AI models to deploy arbitrary unverified code directly into production.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Vibecoding eliminates backend systems, databases, and network protocols, reducing all software development to pure Figma visual design.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Engineers elevate from manual syntax typists to System Architects: defining formal specifications (PRD), boundary constraints, and verification harnesses while AI handles code synthesis.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Engineers delegate all security keys, root server access, and billing passwords directly to autonomous AI models without human oversight.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restricts developers to using only legacy procedural programming languages without access to generative AI or modern frameworks.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2. </w:t>
      </w:r>
      <w:r>
        <w:rPr>
          <w:b/>
          <w:color w:val="0F172A"/>
          <w:sz w:val="21"/>
        </w:rPr>
        <w:t>In Week 1 Lesson 04 ('Freelance PRD &amp; UI'), why is a Product Requirements Document (PRD) considered an essential technical contract before issuing prompts to an AI coder?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establish unambiguous functional boundaries, user stories, acceptance criteria, and edge-case behaviors, preventing AI hallucinations and scope creep.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Solely to inflate the hourly billing rate presented to the client.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record the monitor display resolution of the developer's workstation.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bypass the need for automated testing and continuous integration.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convert the application into a proprietary desktop binary.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3. </w:t>
      </w:r>
      <w:r>
        <w:rPr>
          <w:b/>
          <w:color w:val="0F172A"/>
          <w:sz w:val="21"/>
        </w:rPr>
        <w:t>In Week 2 Lesson 07 ('REST APIs &amp; JSON'), what is the architectural significance of HTTP method idempotency (e.g., PUT vs POST)?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Idempotent methods always run 10 times faster than non-idempotent methods.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Idempotency means the endpoint does not require an active TCP network connection.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Idempotent endpoints can only be accessed using the HTTP/1.0 protocol.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An idempotent request (such as PUT or DELETE) can be repeated multiple times without changing the server state beyond the initial call, whereas POST creates new subordinate resources on each invocation.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prevents the browser from executing pre-flight CORS OPTIONS requests.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4. </w:t>
      </w:r>
      <w:r>
        <w:rPr>
          <w:b/>
          <w:color w:val="0F172A"/>
          <w:sz w:val="21"/>
        </w:rPr>
        <w:t>In Week 2 Lesson 10 ('Auth &amp; Secrets Management'), why is storing raw API secret keys directly inside frontend JavaScript code or client-side bundles a severe vulnerability?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client-side JavaScript files cannot process strings longer than 16 characters.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all client-side assets are downloaded and readable by anyone inspecting browser DevTools or decompiling bundles, enabling immediate secret theft and API quota hijacking.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browsers automatically encrypt all static files with irreversible keys.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JavaScript does not support environment variable imports.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it causes the Vercel edge deployment engine to crash.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5. </w:t>
      </w:r>
      <w:r>
        <w:rPr>
          <w:b/>
          <w:color w:val="0F172A"/>
          <w:sz w:val="21"/>
        </w:rPr>
        <w:t>In Week 2 Lesson 12 ('Agentic AI &amp; Autonomous Coding'), what is the operational cycle of the ReAct (Reasoning + Acting) autonomous agent framework?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Execute Code -&gt; Delete Database -&gt; Reboot Server -&gt; Notify User.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Prompt -&gt; Memorize -&gt; Cache -&gt; Shutdown.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Single-shot token prediction without environment feedback or error correction.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Continuous infinite loops that never terminate or return control to the user.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Thought (reason about current state and goal) -&gt; Action (invoke an external tool or execute command) -&gt; Observation (inspect environment output) -&gt; Iterate until completion.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6. </w:t>
      </w:r>
      <w:r>
        <w:rPr>
          <w:b/>
          <w:color w:val="0F172A"/>
          <w:sz w:val="21"/>
        </w:rPr>
        <w:t>In Week 3 Lesson 13 ('LLM Internal Architecture'), why does standard Full Self-Attention suffer from quadratic computational complexity O(N^2) relative to sequence length 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every token in the sequence must compute an attention dot-product score against every other token in the sequence, producing an N × N attention matrix.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neural networks double their parameter weights after every forward pass.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GPUs can only process data in fixed power-of-two batches.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token embeddings are expanded into 3D polygon meshes during inference.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disk I/O read operations scale quadratically with file length.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7. </w:t>
      </w:r>
      <w:r>
        <w:rPr>
          <w:b/>
          <w:color w:val="0F172A"/>
          <w:sz w:val="21"/>
        </w:rPr>
        <w:t>In Week 3 Lesson 13, how does Byte-Pair Encoding (BPE) tokenization impact non-English languages (such as Uzbek) compared to English?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Non-English languages are compressed into fewer tokens than English.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BPE completely refuses to tokenize UTF-8 multi-byte characters.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Token counts are identical across all human languages regardless of training data.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Non-English text bypasses the embedding layer completely.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BPE vocabularies are predominantly trained on English corpora, non-English words are split into multiple multi-byte subword chunks, resulting in higher token costs and latency.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8. </w:t>
      </w:r>
      <w:r>
        <w:rPr>
          <w:b/>
          <w:color w:val="0F172A"/>
          <w:sz w:val="21"/>
        </w:rPr>
        <w:t>In Week 3 Lesson 13, what critical role does the Key-Value (KV) Cache play in High-Bandwidth Memory (HBM) during autoregressive LLM decoding?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clears GPU VRAM after every generated token to prevent memory leaks.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converts floating-point weights into binary machine 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stores previously computed Key and Value projection tensors so that past tokens do not need their attention matrices recomputed for each newly generated token.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replaces the need for temperature sampling.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prevents the model from generating repeating loops.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9. </w:t>
      </w:r>
      <w:r>
        <w:rPr>
          <w:b/>
          <w:color w:val="0F172A"/>
          <w:sz w:val="21"/>
        </w:rPr>
        <w:t>In Week 3 Lesson 13, what does Stanford's 'Lost in the Middle' empirical phenomenon reveal about LLM context window attention?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LLMs accurately retrieve information located exclusively in the exact mathematical center of the prompt.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LLMs exhibit a U-shaped attention curve: retrieval accuracy is highest at the extreme beginning and end of the context window, and significantly degrades in the middle.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Context windows longer than 1,000 tokens always cause deterministic model crashes.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Placing critical instructions in the center of a prompt prevents jailbreaking.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Temperature must be set to 2.0 to activate middle-context memory.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10. </w:t>
      </w:r>
      <w:r>
        <w:rPr>
          <w:b/>
          <w:color w:val="0F172A"/>
          <w:sz w:val="21"/>
        </w:rPr>
        <w:t>In Week 3 Lesson 13, how does the Temperature parameter (T) mathematically alter the token probability distribution in the Softmax layer?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Higher temperature rounds all probabilities to integers 0 or 1.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Temperature controls the physical clock frequency of the GPU tensor cores.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 = 0 generates completely random gibberish.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Dividing logits by T &gt; 1 flattens the distribution toward uniform probability (increasing entropy and diversity), while T -&gt; 0 concentrates probability onto the top logit (greedy argmax).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Temperature only affects image generation models, having zero effect on text LLMs.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11. </w:t>
      </w:r>
      <w:r>
        <w:rPr>
          <w:b/>
          <w:color w:val="0F172A"/>
          <w:sz w:val="21"/>
        </w:rPr>
        <w:t>In Week 3 Lesson 13, how does Nucleus Sampling (Top-P) differ from fixed Top-K truncation?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Top-K sorts tokens alphabetically, whereas Top-P sorts them by word length.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Top-K restricts candidate tokens to a rigid fixed count K, whereas Top-P dynamically adjusts the candidate pool by accumulating tokens until their cumulative probability exceeds P.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Top-P evaluates tokens in the reverse order of generation.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Top-P requires manual human intervention for every token generated.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Top-K is an asymmetric cryptographic cipher, whereas Top-P is a hashing function.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12. </w:t>
      </w:r>
      <w:r>
        <w:rPr>
          <w:b/>
          <w:color w:val="0F172A"/>
          <w:sz w:val="21"/>
        </w:rPr>
        <w:t>In Week 3 Lesson 13, why does Few-Shot In-Context prompting dramatically outperform Zero-Shot prompting for complex structured outputs?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Few-Shot prompting permanently updates model weights through gradient descent.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Few-Shot prompting reduces API costs by 90%.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Few-Shot prompting bypasses the tokenization layer entirely.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Providing 2–3 concrete input-output demonstration exemplars establishes a concrete semantic vector attractor, guiding the model's latent attention distribution toward the desired pattern.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Zero-Shot prompting is deprecated across all modern foundational models.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13. </w:t>
      </w:r>
      <w:r>
        <w:rPr>
          <w:b/>
          <w:color w:val="0F172A"/>
          <w:sz w:val="21"/>
        </w:rPr>
        <w:t>In Week 3 Lesson 14 ('Tool Calling &amp; Functions'), what role does a JSON Schema contract play when integrating external tools with an LLM?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provides a formal schema defining parameter types, descriptions, and required fields, allowing the model to generate structured, deterministic arguments that programmatic code can execute.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converts SQL database queries into binary machine assembly.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formats CSS stylesheets for browser rendering.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encrypts network traffic between the client and DNS resolvers.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prevents the model from generating text responses.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14. </w:t>
      </w:r>
      <w:r>
        <w:rPr>
          <w:b/>
          <w:color w:val="0F172A"/>
          <w:sz w:val="21"/>
        </w:rPr>
        <w:t>In Week 3 Lesson 14, how does Constrained Decoding (e.g., Grammar-Guided DFA generation) mathematically guarantee 100% valid JSON outputs from an LLM?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By running an asynchronous background validator that deletes invalid files.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By setting model temperature to 1.5.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By retraining model weights on billions of JSON files.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By translating all outputs into binary Base64 strings.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During each step of autoregressive generation, a Deterministic Finite Automaton (DFA) masks out logits of any tokens that would violate the context-free grammar, allowing only valid tokens to be sampled.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15. </w:t>
      </w:r>
      <w:r>
        <w:rPr>
          <w:b/>
          <w:color w:val="0F172A"/>
          <w:sz w:val="21"/>
        </w:rPr>
        <w:t>In Week 3 Lesson 15 ('RAG &amp; Vector Search'), how does Retrieval-Augmented Generation fundamentally eliminate hallucination on proprietary data?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By permanently deleting false facts from the pre-trained weights of the foundational model.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By increasing model parameter size from 7B to 70B.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By retrieving semantically relevant text chunks from a verified external vector database and injecting them into the LLM context window as factual grounding evidence.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By converting all user questions into regex patterns.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By restricting the model to 10-word responses.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16. </w:t>
      </w:r>
      <w:r>
        <w:rPr>
          <w:b/>
          <w:color w:val="0F172A"/>
          <w:sz w:val="21"/>
        </w:rPr>
        <w:t>In Week 3 Lesson 16 ('Multi-Agent Systems &amp; Memory'), what is the architectural distinction between Context Window Memory and Long-Term Episodic Vector Memory?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Context memory is stored on persistent SSD drives, while episodic memory is volatile RAM.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Episodic memory only stores user passwords and credit card numbers.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Context memory requires GPU fine-tuning, whereas episodic memory does not.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Context memory is the ephemeral, token-bounded working buffer of the current inference pass, whereas episodic memory is an external vector store where past experiences and summaries are retrieved via semantic similarity.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Multi-agent systems cannot utilize episodic memory due to consensus locks.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17. </w:t>
      </w:r>
      <w:r>
        <w:rPr>
          <w:b/>
          <w:color w:val="0F172A"/>
          <w:sz w:val="21"/>
        </w:rPr>
        <w:t>In Week 4 Lesson 17 ('RAG &amp; Embeddings'), why is Cosine Similarity preferred over Euclidean Distance (L2) when comparing dense embedding vectors of varying document lengths?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Cosine similarity only works on 2-dimensional integers.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Cosine similarity evaluates the angular orientation between two normalized vectors in high-dimensional space, measuring conceptual alignment regardless of vector magnitude.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Euclidean distance cannot be calculated on modern GPUs.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Cosine similarity guarantees 100% keyword matching accuracy.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Euclidean distance is an asymmetric algorithm that violates linear algebra.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18. </w:t>
      </w:r>
      <w:r>
        <w:rPr>
          <w:b/>
          <w:color w:val="0F172A"/>
          <w:sz w:val="21"/>
        </w:rPr>
        <w:t>In Week 4 Lesson 18 ('Prompt Injection &amp; AI Safety'), what is the critical difference between a 'Direct Prompt Injection' and an 'Indirect Prompt Injection' attack?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Direct injections use Python code, whereas indirect injections use JavaScript.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Direct injections damage computer hardware; indirect injections only affect software.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Indirect injections can only occur when the model is offline.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There is no architectural difference between direct and indirect prompt injection.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In direct injection, the adversary interacts directly with the chat input; in indirect injection, the adversary embeds malicious payload instructions inside untrusted third-party data (e.g., webpage, PDF, email) that an agent fetches and processes.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19. </w:t>
      </w:r>
      <w:r>
        <w:rPr>
          <w:b/>
          <w:color w:val="0F172A"/>
          <w:sz w:val="21"/>
        </w:rPr>
        <w:t>In Week 4 Lesson 19 ('AI Agent Sandboxing &amp; RCE Defense'), why is running autonomous code-generating agents inside gVisor or MicroVMs (e.g., Firecracker) essential?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accelerate Python script execution speeds by 500%.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autonomous agents cannot run on Linux without virtual machines.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prevent Remote Code Execution (RCE) escapes: standard Docker containers share the host Linux kernel, whereas gVisor intercepts syscalls in userspace and MicroVMs provide hardware-isolated virtualization.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eliminate the need for GPU drivers.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bypass operating system file permission checks.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20. </w:t>
      </w:r>
      <w:r>
        <w:rPr>
          <w:b/>
          <w:color w:val="0F172A"/>
          <w:sz w:val="21"/>
        </w:rPr>
        <w:t>In Week 4 Lesson 20 ('Multi-Agent Security &amp; Demo Day'), what is the primary defensive role of an Outbound Data Loss Prevention (Egress DLP) proxy in an autonomous agent network?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inspect, sanitize, and block outgoing network requests from agents, preventing accidental or malicious exfiltration of API keys, PII, or internal database dumps.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download external dependencies faster from NPM and PyPI.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convert HTTP responses into WebSocket streams.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shut down the agent whenever network latency exceeds 50ms.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automatically commit code to public GitHub repositories.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21. </w:t>
      </w:r>
      <w:r>
        <w:rPr>
          <w:b/>
          <w:color w:val="0F172A"/>
          <w:sz w:val="21"/>
        </w:rPr>
        <w:t>In Week 5 Lesson 21 ('Enterprise Cryptography'), why is AES-256-GCM combined with RSA-4096 / ECC in modern hybrid cryptosystems?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RSA is used for symmetric bulk data encryption and AES is used for digital signatures.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AES-256 can only encrypt messages containing fewer than 64 characters.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RSA does not require mathematical prime numbers.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both ciphers are vulnerable to simple brute-force attacks.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asymmetric RSA/ECC efficiently solves key exchange and digital identity verification without a pre-shared secret, while symmetric AES-256-GCM provides ultra-fast, authenticated encryption for bulk payload data.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22. </w:t>
      </w:r>
      <w:r>
        <w:rPr>
          <w:b/>
          <w:color w:val="0F172A"/>
          <w:sz w:val="21"/>
        </w:rPr>
        <w:t>In Week 5 Lesson 22 ('Zero Trust &amp; IAM Architecture'), what is the core tenet of the 'Zero Trust' security model and the Principle of Least Privilege?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Trust all internal network traffic behind the corporate office firewall implicitly.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Eliminate all user passwords and allow anonymous access across all microservices.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Never trust, always verify: assume breach, verify identity and authorization explicitly on every request, and grant subjects only the minimum access permissions necessary to perform their tasks.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Grant root administrator privileges to every developer to speed up sprint velocity.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Disable multi-factor authentication (MFA) on production database clusters.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23. </w:t>
      </w:r>
      <w:r>
        <w:rPr>
          <w:b/>
          <w:color w:val="0F172A"/>
          <w:sz w:val="21"/>
        </w:rPr>
        <w:t>In Week 5 Lesson 23 ('API Security &amp; Rate Limiting'), how does the 'Token Bucket' algorithm throttle high-volume client requests?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deletes client accounts that make more than 5 requests per day.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Tokens are added to a bucket at a constant fill rate up to a max capacity; each request consumes a token, allowing short bursts while strictly capping long-term request rates.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randomly drops 50% of all incoming TCP packets at the NIC layer.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requires users to solve an interactive visual captcha on every single API request.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delays every response by exactly 5 seconds regardless of traffic load.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24. </w:t>
      </w:r>
      <w:r>
        <w:rPr>
          <w:b/>
          <w:color w:val="0F172A"/>
          <w:sz w:val="21"/>
        </w:rPr>
        <w:t>In Week 5 Lesson 23, why are HMAC (Hash-based Message Authentication Code) signatures used to secure webhooks between external providers and backend services?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verify both data integrity and data authenticity, proving mathematically that the webhook payload was signed with a shared secret and was not tampered with in transit.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compress JSON payloads into gzip archives before network transmission.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convert HTTP POST webhooks into GET queries.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hide the IP address of the destination server.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disable HTTPS certificate checks on webhook endpoints.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25. </w:t>
      </w:r>
      <w:r>
        <w:rPr>
          <w:b/>
          <w:color w:val="0F172A"/>
          <w:sz w:val="21"/>
        </w:rPr>
        <w:t>In Week 5 Lesson 24 ('Production AI Telegram Bot'), why is an event-driven Webhook architecture superior to Long Polling for enterprise AI bot deployments?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Long polling is completely illegal under international telecommunication standards.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Webhooks do not require a domain name or SSL certificate.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Long polling uses quantum computing, which is unavailable in cloud data centers.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Webhooks push events instantly via HTTP POST over TLS only when a message arrives, eliminating continuous empty network polling loops, reducing server CPU/memory overhead, and enabling horizontal scaling behind a load balancer.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Webhooks restrict bots to receiving a maximum of 1 message per hour.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6"/>
        </w:rPr>
        <w:t>OFFICIAL ANSWER KEY &amp; 25-POINT GRADING RUBRIC</w:t>
      </w:r>
    </w:p>
    <w:p>
      <w:pPr>
        <w:spacing w:after="160"/>
      </w:pPr>
      <w:r>
        <w:rPr>
          <w:color w:val="64748B"/>
          <w:sz w:val="19"/>
        </w:rPr>
        <w:t>Instructor: Ismoiljon Usmonov · Senior Vibecoding Official Key (25 Questions)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Topic / Domain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Detailed Architectural Explanation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02: Vibecoding Architectural Philosophy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Vibecoding transforms the engineer into a high-level system architect who writes deterministic specifications (PRDs) and validates AI outputs through rigor and automated tests.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04: Technical Specifications &amp; PRD Constraints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rigorous PRD defines functional requirements, acceptance criteria, and out-of-scope boundaries, ensuring the LLM synthesizes code aligned strictly with business logic.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07: REST API Idempotency &amp; HTTP Protocols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PUT is idempotent: sending identical PUT requests N times yields the exact same state as sending it once. POST is non-idempotent: repeating it creates duplicate resources.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10: Secrets Management &amp; Client-Side Leakage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Frontend code is fully exposed to the client. Secrets must remain on backend servers inside isolated .env vaults, exposed only via authenticated proxy endpoints.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12: ReAct (Reason + Act) Autonomous Cycle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ReAct loop interleaves reasoning (Thought) with action execution (Action) and output inspection (Observation), allowing agents to iteratively fix bugs.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Self-Attention Quadratic Scaling O(N^2)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Full attention calculates softmax((Q * K^T) / sqrt(d_k)) * V, requiring an N x N matrix multiplication that scales quadratically with sequence length 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BPE Tokenization &amp; Multi-Language Economics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Underrepresented languages suffer from token fragmentation in BPE, consuming significantly more tokens per sentence and degrading effective context capacity.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KV Cache &amp; VRAM Scaling Dynamics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KV Caching avoids recomputing Keys and Values for historical context during auto-regressive generation, trading GPU VRAM for massive inference speedups.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'Lost in the Middle' Context Placement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Research shows models recall information best at the start (primacy effect) and end (recency effect) of long prompts, suffering degradation in the middle.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Sampling Mathematics: Softmax &amp; Temperature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In Softmax(z_i / T), as T -&gt; 0, the maximum logit approaches probability 1.0 (deterministic). Higher T flattens the distribution, producing more diverse outputs.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Top-K vs Top-P (Nucleus) Sampling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Top-P (Nucleus) dynamically expands when multiple tokens are plausible and contracts when only one token has high confidence, outperforming rigid Top-K.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Few-Shot In-Context Latent Steering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Exemplars align the model's conditioned generation manifold without weight fine-tuning, dramatically reducing formatting errors in structured tasks.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14: Tool Calling &amp; JSON Schema Contracts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JSON Schema provides the mathematical syntax contract: the model produces structured JSON arguments conforming strictly to declared types and required keys.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14: Constrained Decoding &amp; Grammar DFAs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Constrained decoding applies logit masking at inference time: if the next token violates JSON syntax rules, its logit is masked to -infinity, guaranteeing valid syntax.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15: RAG Semantic Grounding &amp; Hallucination Mitigation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RAG separates knowledge storage (vector database) from reasoning (LLM), conditioning generation directly on retrieved factual chunks.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16: Context Buffer vs Long-Term Episodic Memory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Working memory is limited by context window length. Episodic memory persists across sessions in a vector index, retrieved dynamically via embeddings.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17: High-Dimensional Embeddings &amp; Cosine Similarity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Cosine similarity computes dot(A, B) / (||A|| * ||B||), measuring direction rather than magnitude, making it ideal for semantic similarity across varied lengths.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18: Direct vs Indirect Prompt Injection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Indirect prompt injection occurs when an agent ingests untrusted external content (e.g., web scraping) containing hidden adversarial commands that hijack agent execution.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19: Agent Sandboxing &amp; gVisor Syscall Interception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Container escapes compromise host machines. Hardened runtimes like gVisor intercept system calls in userspace, containing untrusted autonomous code execution.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20: Outbound Egress DLP &amp; Exfiltration Defense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Egress DLP monitors outbound traffic from agents, enforcing zero-leakage policies on proprietary credentials, database records, and system prompts.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21: Hybrid Cryptography: AES-256-GCM &amp; Asymmetric RSA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Asymmetric ciphers (RSA/ECC) are computationally heavy and used to exchange symmetric session keys; symmetric ciphers (AES-GCM) encrypt large payloads at wire speed.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22: Zero Trust Architecture &amp; Least Privilege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Zero Trust discards perimeter defense: every microservice request must authenticate, authorize via RBAC/ABAC, and enforce minimum required permissions.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23: Token Bucket Rate Limiting Algorithm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Token Bucket permits burstiness up to bucket capacity while enforcing a strict steady-state refill rate, protecting production backends from DDoS and quota exhaustion.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23: Webhook Integrity &amp; HMAC Digital Signatures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HMAC combines a cryptographic hash (SHA-256) with a shared secret key, enabling the receiver to verify that the webhook payload genuinely originated from the trusted provider.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24: Telegram Bot Architecture: Webhooks vs Long Polling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Webhooks provide real-time event-driven delivery (push) rather than wasteful polling (pull), enabling instant AI responses and serverless edge scaling.</w:t>
            </w:r>
          </w:p>
        </w:tc>
      </w:tr>
    </w:tbl>
    <w:p>
      <w:pPr>
        <w:spacing w:before="240" w:after="80"/>
      </w:pPr>
      <w:r>
        <w:rPr>
          <w:b/>
          <w:color w:val="00214A"/>
          <w:sz w:val="22"/>
        </w:rPr>
        <w:t>Official 25-Point Grading Rubric &amp; Engineering Proficiency Scale: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Excellent / Grade A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Good / Grade B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Satisfactory / Grade C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Unsatisfactory / Grade F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pts</w:t>
              <w:br/>
            </w:r>
            <w:r>
              <w:rPr>
                <w:sz w:val="17"/>
              </w:rPr>
              <w:t>Exceptional mastery of LLM internal mechanics, Agentic ReAct, Tool Calling, RAG, and Enterprise AI Security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pts</w:t>
              <w:br/>
            </w:r>
            <w:r>
              <w:rPr>
                <w:sz w:val="17"/>
              </w:rPr>
              <w:t>Solid understanding of Vibecoding architecture, API protocols, vector embeddings, and sandboxing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pts</w:t>
              <w:br/>
            </w:r>
            <w:r>
              <w:rPr>
                <w:sz w:val="17"/>
              </w:rPr>
              <w:t>Basic grasp of prompt engineering and REST; requires review of KV Cache, Cryptography, and Zero Trust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pts</w:t>
              <w:br/>
            </w:r>
            <w:r>
              <w:rPr>
                <w:sz w:val="17"/>
              </w:rPr>
              <w:t>Foundational gaps in AI engineering and system design; remediation and re-examination required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