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53"/>
        <w:gridCol w:w="7553"/>
      </w:tblGrid>
      <w:tr>
        <w:tc>
          <w:tcPr>
            <w:tcW w:type="dxa" w:w="7488"/>
          </w:tcPr>
          <w:p>
            <w:pPr>
              <w:spacing w:after="40"/>
            </w:pPr>
            <w:r>
              <w:rPr>
                <w:b/>
                <w:sz w:val="18"/>
              </w:rPr>
              <w:t>«KELISHILDI»</w:t>
              <w:br/>
            </w:r>
            <w:r>
              <w:rPr>
                <w:sz w:val="17"/>
              </w:rPr>
              <w:t>Target International School</w:t>
              <w:br/>
              <w:t>Ilmiy bo'lim mudiri (Zavuch):</w:t>
              <w:br/>
              <w:t>_________________________</w:t>
              <w:br/>
              <w:t>«___» ____________ 2026-yil</w:t>
            </w:r>
          </w:p>
        </w:tc>
        <w:tc>
          <w:tcPr>
            <w:tcW w:type="dxa" w:w="7488"/>
          </w:tcPr>
          <w:p>
            <w:pPr>
              <w:spacing w:after="40"/>
              <w:jc w:val="right"/>
            </w:pPr>
            <w:r>
              <w:rPr>
                <w:b/>
                <w:sz w:val="18"/>
              </w:rPr>
              <w:t>«TASDIQLAYMAN»</w:t>
              <w:br/>
            </w:r>
            <w:r>
              <w:rPr>
                <w:sz w:val="17"/>
              </w:rPr>
              <w:t>Target International School</w:t>
              <w:br/>
              <w:t>Maktab Direktori / Metodbirlashma Rahbari:</w:t>
              <w:br/>
              <w:t>_________________________</w:t>
              <w:br/>
              <w:t>«___» ____________ 2026-yil</w:t>
            </w:r>
          </w:p>
        </w:tc>
      </w:tr>
    </w:tbl>
    <w:p>
      <w:pPr>
        <w:spacing w:after="160"/>
      </w:pPr>
    </w:p>
    <w:p>
      <w:pPr>
        <w:spacing w:after="80"/>
        <w:jc w:val="center"/>
      </w:pPr>
      <w:r>
        <w:rPr>
          <w:rFonts w:ascii="Arial" w:hAnsi="Arial"/>
          <w:b/>
          <w:color w:val="0F172A"/>
          <w:sz w:val="22"/>
        </w:rPr>
        <w:t>TARGET INTERNATIONAL SCHOOL — YUNUSOBOD FILIALI</w:t>
        <w:br/>
      </w:r>
      <w:r>
        <w:rPr>
          <w:rFonts w:ascii="Arial" w:hAnsi="Arial"/>
          <w:b/>
          <w:color w:val="1E3A8A"/>
          <w:sz w:val="28"/>
        </w:rPr>
        <w:t>2026–2027 O'QUV YILI UCHUN TAQVIM-MAVZU ISH REJASI (SYLLABUS)</w:t>
        <w:br/>
      </w:r>
      <w:r>
        <w:rPr>
          <w:rFonts w:ascii="Arial" w:hAnsi="Arial"/>
          <w:b/>
          <w:color w:val="2563EB"/>
          <w:sz w:val="22"/>
        </w:rPr>
        <w:t>10–11-sinf: Senior AI &amp; Muhandislik Bo'yicha Maxsus Taqvim Rejasi</w:t>
      </w:r>
    </w:p>
    <w:p>
      <w:pPr>
        <w:spacing w:after="240"/>
        <w:jc w:val="center"/>
      </w:pPr>
      <w:r>
        <w:rPr>
          <w:i/>
          <w:color w:val="64748B"/>
          <w:sz w:val="19"/>
        </w:rPr>
        <w:t>Tuzuvchi o'qituvchi: Musulmonov Mamarajab · Haftalik yuklama: 31 soat · Dars davomiyligi: 40 daqiqa</w:t>
      </w:r>
    </w:p>
    <w:p>
      <w:pPr>
        <w:spacing w:before="280" w:after="40"/>
      </w:pPr>
      <w:r>
        <w:rPr>
          <w:rFonts w:ascii="Arial" w:hAnsi="Arial"/>
          <w:b/>
          <w:color w:val="1E3A8A"/>
          <w:sz w:val="24"/>
        </w:rPr>
        <w:t>Kohorta: 10–11-sinf: Senior AI &amp; Muhandislik (Senior Track)</w:t>
      </w:r>
    </w:p>
    <w:p>
      <w:pPr>
        <w:spacing w:after="120"/>
      </w:pPr>
      <w:r>
        <w:rPr>
          <w:i/>
          <w:color w:val="475569"/>
          <w:sz w:val="18"/>
        </w:rPr>
        <w:t>Yo'nalish tavsifi: LLM ichki mexanikasi, Tool calling, RAG vektor qidiruv, Multi-Agent tizimlar va AI kiberxavfsizligi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1888"/>
        <w:gridCol w:w="1888"/>
        <w:gridCol w:w="1888"/>
        <w:gridCol w:w="1888"/>
        <w:gridCol w:w="1888"/>
        <w:gridCol w:w="1888"/>
        <w:gridCol w:w="1888"/>
        <w:gridCol w:w="1888"/>
      </w:tblGrid>
      <w:tr>
        <w:trPr>
          <w:tblHeader/>
        </w:trPr>
        <w:tc>
          <w:tcPr>
            <w:tcW w:type="dxa" w:w="79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№</w:t>
            </w:r>
          </w:p>
        </w:tc>
        <w:tc>
          <w:tcPr>
            <w:tcW w:type="dxa" w:w="316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Mavzusi</w:t>
            </w:r>
          </w:p>
        </w:tc>
        <w:tc>
          <w:tcPr>
            <w:tcW w:type="dxa" w:w="64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Soat</w:t>
            </w:r>
          </w:p>
        </w:tc>
        <w:tc>
          <w:tcPr>
            <w:tcW w:type="dxa" w:w="1584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Dars Turi</w:t>
            </w:r>
          </w:p>
        </w:tc>
        <w:tc>
          <w:tcPr>
            <w:tcW w:type="dxa" w:w="388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Kompetensiyalar va O'rganish Maqsadi</w:t>
            </w:r>
          </w:p>
        </w:tc>
        <w:tc>
          <w:tcPr>
            <w:tcW w:type="dxa" w:w="2880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Kutilayotgan Natija</w:t>
            </w:r>
          </w:p>
        </w:tc>
        <w:tc>
          <w:tcPr>
            <w:tcW w:type="dxa" w:w="1872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Dasturiy Vosita</w:t>
            </w:r>
          </w:p>
        </w:tc>
        <w:tc>
          <w:tcPr>
            <w:tcW w:type="dxa" w:w="1008"/>
            <w:shd w:fill="0B192C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Sana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1-hafta: Vibecoding asoslari, HTML/CSS va Freelance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Sun'iy intellekt nima?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Olam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Sun'iy intellekt tushunchasi, Botlar bilan suhbat, Sehrli savollar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nima ekanligi haqida rasm va qisqa xulosa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Sehrli AI Chatbot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Vibecoding Asoslari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UI/UX asoslari, Frontend va Backend arxitekturasi, Semantik HTML5 teglari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Mahsulot sahifasi uchun vizual bloklar maketi va DOM daraxti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HTML5, CSS3, Chrome DevTools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IT Dunyosi: Kod va Cloud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Internet qanday ishlaydi, DNS, HTTP, Client-Server modeli, Cloud hosting va serverlar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Internet ma'lumotlar marshruti sxemasi va tarmog' auditi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Terminal, ping, traceroute, Cloudflare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Frilans: Qat'iy Buyurtma (UI)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Texnik topshiriq (PRD) tahlili, CSS Grid va Flexbox, Moslashuvchan dizayn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Mijoz talabi bo'yicha tayyorlangan Landing Page UI maketi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VS Code, CSS Flexbox/Grid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Frilans: Mantiq (JS) va Reviziya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JavaScript DOM manipulyatsiyasi, Hodisalar (Events), Dark/Light rejim almashtirish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savatcha va mavzu almashtirgichga ega veb-ilova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Vanilla JavaScript, DOM API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Deploy va Taqdimot (Going Live)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Deploy / Demo Day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Git versiya nazorati, Vercel/Netlify deploy, SSL sertifikati, QR kod generatsiyasi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Global internetda ishlayotgan jonli HTTPS sayt va mobil QR kod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Vercel, Git, QR Code Generator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2-hafta: API, Ma'lumotlar, Kiberxavfsizlik va Agentic AI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07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API va JSON: Jonli Ma'lumotlar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Nazariy-Amaliy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REST arxitekturasi, JSON ma'lumotlar formati, HTTP metodlar (GET/POST), CORS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Jonli API dan ma'lumot tortuvchi asinxron fetch() skripti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Fetch API, Postman / Thunder Client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08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Loyiha: Jonli Valyuta Konverteri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 Loyiha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Markaziy Bank API integratsiyasi, Dinamik valyuta hisoblash, Xatolarni ushlash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Real vaqt kurslarini hisoblovchi to'liq valyuta kalkulyatori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CBU REST API, JavaScript Async/Await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09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Doimiy Xotira: LocalStorage va State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Amaliy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Brauzer xotirasi (LocalStorage), JSON serializatsiya, Ilova holati (State)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Refresh qilinganda o'chmaydigan operatsiyalar tarixi va sozlamalar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Window.localStorage, JSON.stringify/parse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10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Xavfsizlik, Auth va .env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Autentifikatsiya, Parollarni xeshlash, Xavfsiz tokonlar, .env maxfiy kalitlar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Xavfsiz login tizimi va GitHub ga kalit sizib ketishidan himoyalangan .gitignore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.env, bcrypt tushunchasi, Git secret scan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Mahalliy Muhit: VS Code O'rnatish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Muhandislik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Mahalliy dasturlash muhiti (IDE), Kengaytmalar, Emmet, Live Server, Git integratsiyasi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Sozlangan professional VS Code muhiti va mahalliy server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VS Code, ESLint, Live Server, Bash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Agentik AI: Mustaqil Kod Yozish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Agentik AI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Agentik dasturlash paradigmasi, ReAct tsikli, Mustaqil kod tuzatish, AI CLI vositalari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agent tomonidan yaratilgan va xatolardan tozalangan to'liq modul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Agent CLI, Cursor / Claude Code / Copilot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3-hafta: LLM Mexanikasi, Tool Calling va RAG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LLM Ichki Mexanikasi: Kontekst, Sampling va Few-Shot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Chuqur Muhandislik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Transformer arxitekturasi, Kontekst oynasi, BPE tokenizatsiya, Sampling (Temp, Top-P)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Optimal parametrlar bilan sozlangan korporativ LLM prompti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Tool Calling va Funksiyalarni Bajarish: Fikrlashdan Real Amallargacha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Function Calling mexanizmi, JSON Schema spetsifikatsiyasi, ReAct tsikli, REST bog'lanish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Tashqi API ni mustaqil chaqiruvchi va ma'lumot oluvchi neyro-agent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RAG (Retrieval-Augmented Generation) va Vektor Qidiruv: Tashqi Bilimlarni LLM ga Ulash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RAG (Retrieval-Augmented Generation) asoslari, Chunking, Semantik indekslash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Kompaniya ichki hujjatlari bo'yicha adashmasdan javob beruvchi RAG bot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Avtonom Agentlar va Xotira Tizimlari: Oddiy Botlardan Mustaqil AI Muhandislarigacha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Multi-agent tizimlar, Qisqa va uzoq muddatli xotira, Plan-and-Solve arxitekturasi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Bir nechta ixtisoslashgan agentlardan iborat avtonom muhandislik jamoasi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4-hafta: Chuqur RAG, Vektor Qidiruv va Prompt Injection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RAG va Embeddinglar: Modelga O'z Bilimingizni Berish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Matematik AI Lab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Vektor embeddinglar, Yuqori o'lchovli fazo, Kosinus o'xshashlik formulasi, Dot product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Kosinus burchagi orqali semantik yaqinlikni aniqlovchi qidiruv tizimi (Lab)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16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Prompt Injection: AI Tizimlarining Tug'ma Zaifligi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Red Team Lab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OWASP LLM01, Direct va Indirect Prompt Injection, Jailbreak turlari, Dual-LLM filtr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Xakerlik xurujlariga bardosh beruvchi ko'p qatlamli Guardrail himoya tizimi (Lab)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Lab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15104"/>
            <w:gridSpan w:val="8"/>
            <w:shd w:fill="DBEAFE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1E40AF"/>
                <w:sz w:val="17"/>
              </w:rPr>
              <w:t>📅 5 Hafta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21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Kriptografiya Asoslari: AES, RSA va ECC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Interaktiv Studio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Simmetrik AES-256-GCM, Asimmetrik RSA-2048, SHA-256 xesh, Bit Tamper hujumi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Crypto Studio da shifrlangan xabarlar, kalitlar juftligi va tamper tekshiruvi (Studio)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Crypto Studio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22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Zero Trust va IAM Arxitekturasi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Enterprise Architecture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NIST SP 800-207, Verify Explicitly, Least Privilege, Assume Breach, RBAC vs ABAC, mTLS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Least-Privilege tamoyiliga mos korporativ IAM JSON siyosati va Capital One tahlili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AWS IAM Policy Engine, Policy Validator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23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API Xavfsizligi va Rate Limiting: Token Bucket, DDoS va HMAC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Kiberxavfsizlik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OWASP API Top 10, Token Bucket va Leaky Bucket algoritmlari, DDoS mudofaasi, HMAC imzo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API cheklovchi va soxtalashtirilgan so'rovlarni aniqlovchi HMAC middleware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Rate Limiter Simulator, HMAC-SHA256 Signer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24</w:t>
            </w:r>
          </w:p>
        </w:tc>
        <w:tc>
          <w:tcPr>
            <w:tcW w:type="dxa" w:w="316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AI Model Xavfsizligi: Adversarial Hujumlar va Red Teaming</w:t>
            </w:r>
          </w:p>
        </w:tc>
        <w:tc>
          <w:tcPr>
            <w:tcW w:type="dxa" w:w="64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AI Xavfsizlik</w:t>
            </w:r>
          </w:p>
        </w:tc>
        <w:tc>
          <w:tcPr>
            <w:tcW w:type="dxa" w:w="388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MITRE ATLAS, Adversarial Perturbation, FGSM gradient hujumi, Data Poisoning, Red Teaming</w:t>
            </w:r>
          </w:p>
        </w:tc>
        <w:tc>
          <w:tcPr>
            <w:tcW w:type="dxa" w:w="2880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Ko'rinmas shovqinli kiber-hujumlar va zaharli o'quv ma'lumotlarini aniqlash protokoli</w:t>
            </w:r>
          </w:p>
        </w:tc>
        <w:tc>
          <w:tcPr>
            <w:tcW w:type="dxa" w:w="1872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FGSM Perturbation Visualizer, Model Robustness Auditor</w:t>
            </w:r>
          </w:p>
        </w:tc>
        <w:tc>
          <w:tcPr>
            <w:tcW w:type="dxa" w:w="1008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  <w:tr>
        <w:tc>
          <w:tcPr>
            <w:tcW w:type="dxa" w:w="79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sz w:val="16"/>
              </w:rPr>
              <w:t>25</w:t>
            </w:r>
          </w:p>
        </w:tc>
        <w:tc>
          <w:tcPr>
            <w:tcW w:type="dxa" w:w="316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b/>
                <w:sz w:val="16"/>
              </w:rPr>
              <w:t>SOC Simulyatsiyasi va Kiber-Insident Boshqaruvi</w:t>
            </w:r>
          </w:p>
        </w:tc>
        <w:tc>
          <w:tcPr>
            <w:tcW w:type="dxa" w:w="64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1</w:t>
            </w:r>
          </w:p>
        </w:tc>
        <w:tc>
          <w:tcPr>
            <w:tcW w:type="dxa" w:w="1584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Kiber-Insident</w:t>
            </w:r>
          </w:p>
        </w:tc>
        <w:tc>
          <w:tcPr>
            <w:tcW w:type="dxa" w:w="388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SOC (Security Operations Center) 24/7, SIEM/SOAR, Sigma qoidalari, NIST SP 800-61, MTTR</w:t>
            </w:r>
          </w:p>
        </w:tc>
        <w:tc>
          <w:tcPr>
            <w:tcW w:type="dxa" w:w="2880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Sigma aniqlash qoidasi va xakerlik hujumidan keyingi rasmiy Post-Mortem hisoboti</w:t>
            </w:r>
          </w:p>
        </w:tc>
        <w:tc>
          <w:tcPr>
            <w:tcW w:type="dxa" w:w="1872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</w:pPr>
            <w:r>
              <w:rPr>
                <w:rFonts w:ascii="Arial" w:hAnsi="Arial"/>
                <w:sz w:val="16"/>
              </w:rPr>
              <w:t>SIEM Log Analyzer, Sigma Rule Editor</w:t>
            </w:r>
          </w:p>
        </w:tc>
        <w:tc>
          <w:tcPr>
            <w:tcW w:type="dxa" w:w="1008"/>
            <w:shd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6"/>
              </w:rPr>
              <w:t>___/___</w:t>
            </w:r>
          </w:p>
        </w:tc>
      </w:tr>
    </w:tbl>
    <w:p>
      <w:pPr>
        <w:spacing w:before="160" w:after="40"/>
      </w:pPr>
      <w:r>
        <w:rPr>
          <w:rFonts w:ascii="Arial" w:hAnsi="Arial"/>
          <w:b/>
          <w:color w:val="1E3A8A"/>
          <w:sz w:val="19"/>
        </w:rPr>
        <w:t>🚀 10–11-sinf: Senior AI &amp; Muhandislik: 6–9-Haftalar va 1-Chorak Yakuni (Istiqbolli Reja)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single" w:sz="4" w:space="0" w:color="CBD5E1"/>
          <w:left w:val="none"/>
          <w:right w:val="none"/>
        </w:tblBorders>
      </w:tblPr>
      <w:tblGrid>
        <w:gridCol w:w="3776"/>
        <w:gridCol w:w="3776"/>
        <w:gridCol w:w="3776"/>
        <w:gridCol w:w="3776"/>
      </w:tblGrid>
      <w:tr>
        <w:trPr>
          <w:tblHeader/>
        </w:trPr>
        <w:tc>
          <w:tcPr>
            <w:tcW w:type="dxa" w:w="1728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Hafta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Mavzular Yo'nalishi</w:t>
            </w:r>
          </w:p>
        </w:tc>
        <w:tc>
          <w:tcPr>
            <w:tcW w:type="dxa" w:w="1152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Soat</w:t>
            </w:r>
          </w:p>
        </w:tc>
        <w:tc>
          <w:tcPr>
            <w:tcW w:type="dxa" w:w="6480"/>
            <w:shd w:fill="334155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Shakl va Kutilayotgan Natija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6-hafta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Cloud Infratuzilma Xavfsizligi va Kubernetes Zero Trust Hardening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K8s tarmoq siyosatlari va klaster mudofaasi laboratoriyasi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7-hafta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Kiber-Tahdidlarni Razvedka Qilish (OSINT &amp; Threat Intelligence)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Shubhali domenlar va IP larni real-vaqt tergov qilish keysi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8-hafta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Oraliq Nazorat va Enterprise Kiberxavfsizlik Auditi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Amaliy sinov imtihoni (Midterm Assessment)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b/>
                <w:sz w:val="16"/>
              </w:rPr>
              <w:t>9-hafta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1-Chorak Yakuniy Demo Day: Xavfsiz AI Tizimi Taqdimoti</w:t>
            </w:r>
          </w:p>
        </w:tc>
        <w:tc>
          <w:tcPr>
            <w:tcW w:type="dxa" w:w="115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sz w:val="16"/>
              </w:rPr>
              <w:t>Hakamlar hay'atiga himoyalangan arxitekturani himoya qilish</w:t>
            </w:r>
          </w:p>
        </w:tc>
      </w:tr>
    </w:tbl>
    <w:p>
      <w:pPr>
        <w:spacing w:after="280"/>
      </w:pPr>
    </w:p>
    <w:p>
      <w:pPr>
        <w:spacing w:before="280" w:after="40"/>
      </w:pPr>
      <w:r>
        <w:rPr>
          <w:rFonts w:ascii="Arial" w:hAnsi="Arial"/>
          <w:b/>
          <w:color w:val="1E3A8A"/>
          <w:sz w:val="22"/>
        </w:rPr>
        <w:t>III. Rasmiy Tasdiq va Imzolar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4A3B8"/>
          <w:bottom w:val="single" w:sz="4" w:space="0" w:color="94A3B8"/>
          <w:insideH w:val="single" w:sz="4" w:space="0" w:color="94A3B8"/>
          <w:insideV w:val="single" w:sz="4" w:space="0" w:color="94A3B8"/>
          <w:left w:val="none"/>
          <w:right w:val="none"/>
        </w:tblBorders>
      </w:tblPr>
      <w:tblGrid>
        <w:gridCol w:w="7553"/>
        <w:gridCol w:w="7553"/>
      </w:tblGrid>
      <w:tr>
        <w:tc>
          <w:tcPr>
            <w:tcW w:type="dxa" w:w="7920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sz w:val="19"/>
              </w:rPr>
              <w:t>Tuzuvchi O'qituvchi:</w:t>
              <w:br/>
            </w:r>
            <w:r>
              <w:rPr>
                <w:sz w:val="18"/>
              </w:rPr>
              <w:t>Target International School IT &amp; Kiberxavfsizlik fani o'qituvchisi:</w:t>
              <w:br/>
              <w:br/>
            </w:r>
            <w:r>
              <w:rPr>
                <w:sz w:val="18"/>
              </w:rPr>
              <w:t>Musulmonov Mamarajab ___________________</w:t>
              <w:br/>
              <w:br/>
              <w:t>Sana: «___» ________________ 2026-yil</w:t>
            </w:r>
          </w:p>
        </w:tc>
        <w:tc>
          <w:tcPr>
            <w:tcW w:type="dxa" w:w="7920"/>
            <w:shd w:fill="F8FAFC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sz w:val="19"/>
              </w:rPr>
              <w:t>Tasdiqlayman:</w:t>
              <w:br/>
            </w:r>
            <w:r>
              <w:rPr>
                <w:sz w:val="18"/>
              </w:rPr>
              <w:t>Target International School Metodbirlashma Rahbari / Ilmiy Mudir:</w:t>
              <w:br/>
              <w:br/>
            </w:r>
            <w:r>
              <w:rPr>
                <w:sz w:val="18"/>
              </w:rPr>
              <w:t>_______________________________________</w:t>
              <w:br/>
              <w:br/>
              <w:t>Sana: «___» ________________ 2026-yil</w:t>
            </w:r>
          </w:p>
        </w:tc>
      </w:tr>
    </w:tbl>
    <w:sectPr w:rsidR="00FC693F" w:rsidRPr="0006063C" w:rsidSect="00034616">
      <w:pgSz w:w="16834" w:h="11909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