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MemeMakers Hub Website Specification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Overall Vision &amp; Branding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Style &amp; Aesthetic: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Modern &amp; Minimalist: Clean lines, ample white space, and an organized layout.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Crypto-Infused Visuals: Subtle blockchain-inspired patterns or animations that resonate with the crypto and meme culture.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Dynamic &amp; Bold Accents: Vibrant accent colors for CTAs and interactive elements.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Typography &amp; Imagery: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Bold, modern sans-serif fonts for headings; clean, legible fonts for body text.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Custom illustrations and icons that reflect crypto, digital culture, and a hint of humor.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2. Navigation &amp; Layout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Sticky Navigation Bar: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Menu Items: Home, Services, Marketplace, Membership, Analytics, and Contact.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Mobile-Responsive Design: Includes a hamburger menu for smaller screens.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Layout: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Consistent design language (colors, fonts, iconography) across all pages.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Clean, user-friendly interface with intuitive navigation.</w:t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3. Key Website Pages &amp; Their Features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Home Page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Hero Section: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- Tagline: “From concept to Moon. We build, You shine.”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Dynamic or video background to convey energy and innovation.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Clear CTA buttons (e.g., 'Explore Services,' 'Join Now').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Overview Sections: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Brief introduction to the main services.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 Highlights of key features such as real-time analytics, membership benefits, and referral commissions.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Client &amp; Partner Logos/Testimonials: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- Display logos of partner projects or client testimonials to establish trust.</w:t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4. Additional Features &amp; Integrations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Multi-Currency Payment Integration: Support for various stablecoins and cryptocurrencies.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Blockchain-Integrated Verification &amp; NFT Rewards: For raiders, using blockchain to verify performance data and issue NFT badges.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Mobile Responsiveness: Ensuring seamless adaptation to different devices and screen sizes.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Secure Backend Admin Panel: For manual verifications and commission processing.</w:t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5. Summary of Core Features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Interactive Real-Time Analytics Dashboard:</w:t>
      </w:r>
      <w:r w:rsidDel="00000000" w:rsidR="00000000" w:rsidRPr="00000000">
        <w:rPr>
          <w:rtl w:val="0"/>
        </w:rPr>
        <w:t xml:space="preserve"> Live campaign metrics and performance tracking.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Comprehensive Membership System</w:t>
      </w:r>
      <w:r w:rsidDel="00000000" w:rsidR="00000000" w:rsidRPr="00000000">
        <w:rPr>
          <w:rtl w:val="0"/>
        </w:rPr>
        <w:t xml:space="preserve">: Verified roles, performance tracking for raiders, referral &amp; commission tracking.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Marketplace</w:t>
      </w:r>
      <w:r w:rsidDel="00000000" w:rsidR="00000000" w:rsidRPr="00000000">
        <w:rPr>
          <w:rtl w:val="0"/>
        </w:rPr>
        <w:t xml:space="preserve">: Service listings for various project needs with integrated booking options.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Live Chat &amp; Automated Assistance:</w:t>
      </w:r>
      <w:r w:rsidDel="00000000" w:rsidR="00000000" w:rsidRPr="00000000">
        <w:rPr>
          <w:rtl w:val="0"/>
        </w:rPr>
        <w:t xml:space="preserve"> Real-time support across the site.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Secure Backend Admin Panel: </w:t>
      </w:r>
      <w:r w:rsidDel="00000000" w:rsidR="00000000" w:rsidRPr="00000000">
        <w:rPr>
          <w:rtl w:val="0"/>
        </w:rPr>
        <w:t xml:space="preserve">For manual verifications and commission processing.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