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VOLTRA MOBILITY // SOP-704</w:t>
      </w:r>
    </w:p>
    <w:p>
      <w:r>
        <w:t>VOLTRA MOBILITY // STANDARD OPERATING PROCEDURE SOP-704</w:t>
      </w:r>
    </w:p>
    <w:p>
      <w:r>
        <w:t>Title: Supply Chain Disruption &amp; Factory Contingency Protocol</w:t>
      </w:r>
    </w:p>
    <w:p>
      <w:r>
        <w:t>Effective Date: January 15, 2026</w:t>
      </w:r>
    </w:p>
    <w:p>
      <w:pPr>
        <w:pStyle w:val="Heading1"/>
      </w:pPr>
      <w:r>
        <w:t>1. PURPOSE</w:t>
      </w:r>
    </w:p>
    <w:p>
      <w:r>
        <w:t>Defines operational response thresholds when critical component deliveries are halted.</w:t>
      </w:r>
    </w:p>
    <w:p>
      <w:pPr>
        <w:pStyle w:val="Heading1"/>
      </w:pPr>
      <w:r>
        <w:t>2. INVENTORY RUNWAY EVALUATION</w:t>
      </w:r>
    </w:p>
    <w:p>
      <w:pPr>
        <w:pStyle w:val="Heading1"/>
      </w:pPr>
      <w:r>
        <w:t>2.1 Buffer Calculation: Days of Inventory = Current Stock / Daily Consumption.</w:t>
      </w:r>
    </w:p>
    <w:p>
      <w:pPr>
        <w:pStyle w:val="Heading1"/>
      </w:pPr>
      <w:r>
        <w:t>2.2 Microcontroller MCU-900 Stock Policy:</w:t>
      </w:r>
    </w:p>
    <w:p>
      <w:r>
        <w:t xml:space="preserve">    - Normal Buffer: 5 Days of active stock (2,500 units at 500 units/day consumption).</w:t>
      </w:r>
    </w:p>
    <w:p>
      <w:r>
        <w:t xml:space="preserve">    - If supplier outage duration exceeds 5 days: Critical Gap occurs.</w:t>
      </w:r>
    </w:p>
    <w:p>
      <w:r>
        <w:t xml:space="preserve">    - Day 1-5: Production operates normally using on-hand buffer.</w:t>
      </w:r>
    </w:p>
    <w:p>
      <w:r>
        <w:t xml:space="preserve">    - Day 6+: Total line stoppage of Line 2 (ECU Sub-assembly) and Line 3 (Voltra Model V-1).</w:t>
      </w:r>
    </w:p>
    <w:p>
      <w:pPr>
        <w:pStyle w:val="Heading1"/>
      </w:pPr>
      <w:r>
        <w:t>3. ALTERNATIVE SOURCING PROTOCOLS</w:t>
      </w:r>
    </w:p>
    <w:p>
      <w:pPr>
        <w:pStyle w:val="Heading1"/>
      </w:pPr>
      <w:r>
        <w:t>3.1 For components with approved secondary suppliers (e.g. VoltCell -&gt; Amperex Dynamics):</w:t>
      </w:r>
    </w:p>
    <w:p>
      <w:r>
        <w:t xml:space="preserve">    Initiate secondary purchase order within 12 hours of confirmed primary disruption.</w:t>
      </w:r>
    </w:p>
    <w:p>
      <w:pPr>
        <w:pStyle w:val="Heading1"/>
      </w:pPr>
      <w:r>
        <w:t>3.2 For single-source components with NO documented alternative (e.g. Apex Microelectronics MCU-900):</w:t>
      </w:r>
    </w:p>
    <w:p>
      <w:r>
        <w:t xml:space="preserve">    Plant manager must declare Force Majeure operational suspension upon stock depletion.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