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Мухамеджанов</w:t>
      </w:r>
      <w:r>
        <w:t xml:space="preserve"> </w:t>
      </w:r>
      <w:r>
        <w:t xml:space="preserve">Исматулло</w:t>
      </w:r>
      <w:r>
        <w:t xml:space="preserve"> </w:t>
      </w:r>
      <w:r>
        <w:t xml:space="preserve">Иззатуллоевич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шифрование гаммирование [1].</w:t>
      </w:r>
    </w:p>
    <w:bookmarkEnd w:id="20"/>
    <w:bookmarkStart w:id="21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Шифрование Гаммированием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 всех схем шифрования простейшей и наиболее надежной является схема однократного использования (рис. 1).</w:t>
      </w:r>
      <w:r>
        <w:t xml:space="preserve"> </w:t>
      </w:r>
      <w:r>
        <w:t xml:space="preserve">Формируется m- разрядная случайная двоичная последовательность — ключ шифра. Отправитесь производит побитовое сложение по модулю два (mod 2) ключа</w:t>
      </w:r>
      <w:r>
        <w:t xml:space="preserve"> </w:t>
      </w:r>
      <w:r>
        <w:t xml:space="preserve">k - k1k2..ki…km</w:t>
      </w:r>
      <w:r>
        <w:t xml:space="preserve"> </w:t>
      </w:r>
      <w:r>
        <w:t xml:space="preserve">и m- разрядной двоичной последовательности</w:t>
      </w:r>
      <w:r>
        <w:t xml:space="preserve"> </w:t>
      </w:r>
      <w:r>
        <w:t xml:space="preserve">Р — P1P2..Pi…Рm</w:t>
      </w:r>
      <w:r>
        <w:t xml:space="preserve"> </w:t>
      </w:r>
      <w:r>
        <w:t xml:space="preserve">соответствующей посылаемому сообщению:</w:t>
      </w:r>
    </w:p>
    <w:p>
      <w:pPr>
        <w:pStyle w:val="FirstParagraph"/>
      </w:pPr>
      <w:r>
        <w:t xml:space="preserve">сi = рi ⊕ ki;, i = 1, m,</w:t>
      </w:r>
      <w:r>
        <w:t xml:space="preserve"> </w:t>
      </w:r>
      <w:r>
        <w:t xml:space="preserve">где р; — i-й бит исходного текста, k; — i-й бит ключа, — операция побитового сложения (XOR), с; — i-и 6m получившейся криптограммы</w:t>
      </w:r>
      <w:r>
        <w:t xml:space="preserve"> </w:t>
      </w:r>
      <w:r>
        <w:t xml:space="preserve">с = c1c2 … сi … сm.</w:t>
      </w:r>
    </w:p>
    <w:p>
      <w:pPr>
        <w:pStyle w:val="CaptionedFigure"/>
      </w:pPr>
      <w:r>
        <w:drawing>
          <wp:inline>
            <wp:extent cx="5334000" cy="3107422"/>
            <wp:effectExtent b="0" l="0" r="0" t="0"/>
            <wp:docPr descr="Программа (1)" title="" id="23" name="Picture"/>
            <a:graphic>
              <a:graphicData uri="http://schemas.openxmlformats.org/drawingml/2006/picture">
                <pic:pic>
                  <pic:nvPicPr>
                    <pic:cNvPr descr="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(1)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шифры методом гаммирования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3</dc:title>
  <dc:creator>Мухамеджанов Исматулло Иззатуллоевич</dc:creator>
  <dc:language>ru-RU</dc:language>
  <cp:keywords/>
  <dcterms:created xsi:type="dcterms:W3CDTF">2023-12-26T03:08:02Z</dcterms:created>
  <dcterms:modified xsi:type="dcterms:W3CDTF">2023-12-26T03:08:02Z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