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WEEKLY LEGISLATIVE DIGEST · REPUBLIC OF AZERBAIJAN</w:t>
      </w:r>
      <w:r>
        <w:rPr>
          <w:rFonts w:ascii="Eloquia Text ExtLt" w:hAnsi="Eloquia Text ExtLt" w:cs="Eloquia Text ExtLt"/>
          <w:b w:val="0"/>
          <w:i w:val="0"/>
          <w:sz w:val="18"/>
        </w:rPr>
        <w:tab/>
      </w:r>
      <w:r>
        <w:rPr>
          <w:rFonts w:ascii="Eloquia Text ExtLt" w:hAnsi="Eloquia Text ExtLt" w:cs="Eloquia Text ExtLt"/>
          <w:b w:val="0"/>
          <w:i w:val="0"/>
          <w:color w:val="3B3838"/>
          <w:sz w:val="18"/>
        </w:rPr>
        <w:t>ISSUE No. 1   ·   5–12 JUNE 2026</w:t>
      </w:r>
    </w:p>
    <w:p>
      <w:pPr>
        <w:spacing w:before="0" w:after="80" w:line="240" w:lineRule="auto"/>
      </w:pPr>
    </w:p>
    <w:p>
      <w:pPr>
        <w:spacing w:before="160" w:after="0" w:line="240" w:lineRule="auto"/>
        <w:jc w:val="center"/>
      </w:pPr>
      <w:r>
        <w:rPr>
          <w:rFonts w:ascii="Eloquia Text ExtLt" w:hAnsi="Eloquia Text ExtLt" w:cs="Eloquia Text ExtLt"/>
          <w:b/>
          <w:i w:val="0"/>
          <w:color w:val="3B3838"/>
          <w:sz w:val="72"/>
        </w:rPr>
        <w:t>01</w:t>
      </w:r>
    </w:p>
    <w:p>
      <w:pPr>
        <w:spacing w:before="0" w:after="20" w:line="240" w:lineRule="auto"/>
        <w:jc w:val="center"/>
      </w:pPr>
      <w:r>
        <w:rPr>
          <w:rFonts w:ascii="Times New Roman" w:hAnsi="Times New Roman" w:cs="Times New Roman"/>
          <w:b/>
          <w:i w:val="0"/>
          <w:color w:val="806000"/>
          <w:sz w:val="14"/>
        </w:rPr>
        <w:t>PRESIDENT · DECREE · 9 JUNE 2026</w:t>
      </w:r>
    </w:p>
    <w:p>
      <w:pPr>
        <w:spacing w:before="0" w:after="80" w:line="240" w:lineRule="auto"/>
        <w:jc w:val="center"/>
      </w:pPr>
      <w:r>
        <w:rPr>
          <w:rFonts w:ascii="Times New Roman" w:hAnsi="Times New Roman" w:cs="Times New Roman"/>
          <w:b/>
          <w:i w:val="0"/>
          <w:color w:val="1F3864"/>
          <w:sz w:val="26"/>
        </w:rPr>
        <w:t>President expands credit guarantees and interest subsidies for entrepreneurs.</w:t>
      </w:r>
    </w:p>
    <w:p>
      <w:pPr>
        <w:spacing w:before="0" w:after="80" w:line="252" w:lineRule="auto"/>
        <w:jc w:val="both"/>
      </w:pPr>
      <w:r>
        <w:rPr>
          <w:rFonts w:ascii="Eloquia Text ExtLt" w:hAnsi="Eloquia Text ExtLt" w:cs="Eloquia Text ExtLt"/>
          <w:b w:val="0"/>
          <w:i w:val="0"/>
          <w:color w:val="000000"/>
          <w:sz w:val="18"/>
        </w:rPr>
        <w:t>The week’s defining act is a presidential decree, signed 9 June, that overhauls the state’s system of credit support for the private sector. The decree refines the mechanisms through which the government guarantees bank loans extended to entrepreneurs and subsidises the interest payable on them, and it amends a series of earlier presidential decrees so that the whole framework operates under a single, updated set of rules.</w:t>
      </w:r>
    </w:p>
    <w:p>
      <w:pPr>
        <w:spacing w:before="0" w:after="80" w:line="252" w:lineRule="auto"/>
        <w:jc w:val="both"/>
      </w:pPr>
      <w:r>
        <w:rPr>
          <w:rFonts w:ascii="Eloquia Text ExtLt" w:hAnsi="Eloquia Text ExtLt" w:cs="Eloquia Text ExtLt"/>
          <w:b w:val="0"/>
          <w:i w:val="0"/>
          <w:color w:val="000000"/>
          <w:sz w:val="18"/>
        </w:rPr>
        <w:t>In practice, the reform widens access to state-backed financing and lowers the effective cost of borrowing for private business. By reducing the collateral burden and the interest expense that small and medium enterprises face, it is designed to channel commercial credit into productive, non-oil sectors of the economy — manufacturing, agriculture, services and export-oriented production.</w:t>
      </w:r>
    </w:p>
    <w:p>
      <w:pPr>
        <w:spacing w:before="0" w:after="80" w:line="252" w:lineRule="auto"/>
        <w:jc w:val="both"/>
      </w:pPr>
      <w:r>
        <w:rPr>
          <w:rFonts w:ascii="Eloquia Text ExtLt" w:hAnsi="Eloquia Text ExtLt" w:cs="Eloquia Text ExtLt"/>
          <w:b w:val="0"/>
          <w:i w:val="0"/>
          <w:color w:val="000000"/>
          <w:sz w:val="18"/>
        </w:rPr>
        <w:t>It is the most consequential of the fourteen instruments entered into the official State Register during the review period, and it sits at the centre of a wider economic-policy package. The same day, the President signed a complementary decree on non-oil-gas exports (item 02), and on 8 June overhauled the Agrarian Credit and Development Agency (item 03) — three measures that together point firmly toward diversification away from hydrocarbon revenue.</w:t>
      </w:r>
    </w:p>
    <w:p>
      <w:pPr>
        <w:spacing w:before="0" w:after="120" w:line="240" w:lineRule="auto"/>
        <w:jc w:val="both"/>
      </w:pPr>
      <w:r>
        <w:rPr>
          <w:rFonts w:ascii="Times New Roman" w:hAnsi="Times New Roman" w:cs="Times New Roman"/>
          <w:b w:val="0"/>
          <w:i/>
          <w:color w:val="8A6D1E"/>
          <w:sz w:val="16"/>
        </w:rPr>
        <w:t>Source · e-qanun.az/framework/</w:t>
      </w:r>
      <w:hyperlink r:id="rId9">
        <w:r>
          <w:rPr>
            <w:rFonts w:ascii="Times New Roman" w:hAnsi="Times New Roman" w:cs="Times New Roman"/>
            <w:sz w:val="16"/>
            <w:i/>
            <w:color w:val="8A6D1E"/>
            <w:u w:val="single"/>
          </w:rPr>
          <w:t xml:space="preserve">61987</w:t>
        </w:r>
      </w:hyperlink>
    </w:p>
    <w:p>
      <w:pPr>
        <w:sectPr>
          <w:pgSz w:w="11909" w:h="16834"/>
          <w:pgMar w:top="720" w:right="720" w:bottom="720" w:left="720" w:header="720" w:footer="720" w:gutter="0"/>
          <w:cols w:space="708" w:num="1"/>
          <w:docGrid w:linePitch="360"/>
        </w:sectPr>
      </w:pPr>
    </w:p>
    <w:p>
      <w:pPr>
        <w:spacing w:before="240" w:after="0" w:line="240" w:lineRule="auto"/>
        <w:jc w:val="center"/>
      </w:pPr>
      <w:r>
        <w:rPr>
          <w:rFonts w:ascii="Eloquia Text ExtLt" w:hAnsi="Eloquia Text ExtLt" w:cs="Eloquia Text ExtLt"/>
          <w:b/>
          <w:i w:val="0"/>
          <w:color w:val="3B3838"/>
          <w:sz w:val="56"/>
        </w:rPr>
        <w:t>02</w:t>
      </w:r>
    </w:p>
    <w:p>
      <w:pPr>
        <w:spacing w:before="0" w:after="20" w:line="240" w:lineRule="auto"/>
        <w:jc w:val="center"/>
      </w:pPr>
      <w:r>
        <w:rPr>
          <w:rFonts w:ascii="Times New Roman" w:hAnsi="Times New Roman" w:cs="Times New Roman"/>
          <w:b/>
          <w:i w:val="0"/>
          <w:color w:val="806000"/>
          <w:sz w:val="14"/>
        </w:rPr>
        <w:t>PRESIDENT · DECREE · 9 JUNE 2026</w:t>
      </w:r>
    </w:p>
    <w:p>
      <w:pPr>
        <w:spacing w:before="0" w:after="80" w:line="240" w:lineRule="auto"/>
        <w:jc w:val="center"/>
      </w:pPr>
      <w:r>
        <w:rPr>
          <w:rFonts w:ascii="Times New Roman" w:hAnsi="Times New Roman" w:cs="Times New Roman"/>
          <w:b/>
          <w:i w:val="0"/>
          <w:color w:val="1F3864"/>
          <w:sz w:val="24"/>
        </w:rPr>
        <w:t>A parallel push to reward non-oil exporters.</w:t>
      </w:r>
    </w:p>
    <w:p>
      <w:pPr>
        <w:spacing w:before="0" w:after="80" w:line="252" w:lineRule="auto"/>
        <w:jc w:val="both"/>
      </w:pPr>
      <w:r>
        <w:rPr>
          <w:rFonts w:ascii="Eloquia Text ExtLt" w:hAnsi="Eloquia Text ExtLt" w:cs="Eloquia Text ExtLt"/>
          <w:b w:val="0"/>
          <w:i w:val="0"/>
          <w:color w:val="000000"/>
          <w:sz w:val="18"/>
        </w:rPr>
        <w:t>Signed the same day as the credit-guarantee reform, a second presidential decree introduces additional measures to stimulate the export of non-oil-and-gas goods and to defray the transport and logistics costs that weigh on exporters. The instrument extends targeted support to producers competing in foreign markets, where freight expense often erodes the margin on Azerbaijani goods.</w:t>
      </w:r>
    </w:p>
    <w:p>
      <w:pPr>
        <w:spacing w:before="0" w:after="80" w:line="252" w:lineRule="auto"/>
        <w:jc w:val="both"/>
      </w:pPr>
      <w:r>
        <w:rPr>
          <w:rFonts w:ascii="Eloquia Text ExtLt" w:hAnsi="Eloquia Text ExtLt" w:cs="Eloquia Text ExtLt"/>
          <w:b w:val="0"/>
          <w:i w:val="0"/>
          <w:color w:val="000000"/>
          <w:sz w:val="18"/>
        </w:rPr>
        <w:t>Read together with item 01, the decree confirms a deliberate tilt of fiscal policy toward the tradable, non-hydrocarbon economy. For manufacturers, agro-processors and logistics operators, the practical question will be the eligibility thresholds and the per-shipment ceilings, which fall to be set in the implementing rules.</w:t>
      </w:r>
    </w:p>
    <w:p>
      <w:pPr>
        <w:spacing w:before="0" w:after="120" w:line="240" w:lineRule="auto"/>
        <w:jc w:val="both"/>
      </w:pPr>
      <w:r>
        <w:rPr>
          <w:rFonts w:ascii="Times New Roman" w:hAnsi="Times New Roman" w:cs="Times New Roman"/>
          <w:b w:val="0"/>
          <w:i/>
          <w:color w:val="8A6D1E"/>
          <w:sz w:val="16"/>
        </w:rPr>
        <w:t>Source · e-qanun.az/framework/</w:t>
      </w:r>
      <w:hyperlink r:id="rId10">
        <w:r>
          <w:rPr>
            <w:rFonts w:ascii="Times New Roman" w:hAnsi="Times New Roman" w:cs="Times New Roman"/>
            <w:sz w:val="16"/>
            <w:i/>
            <w:color w:val="8A6D1E"/>
            <w:u w:val="single"/>
          </w:rPr>
          <w:t xml:space="preserve">61986</w:t>
        </w:r>
      </w:hyperlink>
    </w:p>
    <w:p>
      <w:pPr>
        <w:spacing w:before="240" w:after="0" w:line="240" w:lineRule="auto"/>
        <w:jc w:val="center"/>
      </w:pPr>
      <w:r>
        <w:rPr>
          <w:rFonts w:ascii="Eloquia Text ExtLt" w:hAnsi="Eloquia Text ExtLt" w:cs="Eloquia Text ExtLt"/>
          <w:b/>
          <w:i w:val="0"/>
          <w:color w:val="3B3838"/>
          <w:sz w:val="56"/>
        </w:rPr>
        <w:t>03</w:t>
      </w:r>
    </w:p>
    <w:p>
      <w:pPr>
        <w:spacing w:before="0" w:after="20" w:line="240" w:lineRule="auto"/>
        <w:jc w:val="center"/>
      </w:pPr>
      <w:r>
        <w:rPr>
          <w:rFonts w:ascii="Times New Roman" w:hAnsi="Times New Roman" w:cs="Times New Roman"/>
          <w:b/>
          <w:i w:val="0"/>
          <w:color w:val="806000"/>
          <w:sz w:val="14"/>
        </w:rPr>
        <w:t>PRESIDENT · DECREE · 8 JUNE 2026</w:t>
      </w:r>
    </w:p>
    <w:p>
      <w:pPr>
        <w:spacing w:before="0" w:after="80" w:line="240" w:lineRule="auto"/>
        <w:jc w:val="center"/>
      </w:pPr>
      <w:r>
        <w:rPr>
          <w:rFonts w:ascii="Times New Roman" w:hAnsi="Times New Roman" w:cs="Times New Roman"/>
          <w:b/>
          <w:i w:val="0"/>
          <w:color w:val="1F3864"/>
          <w:sz w:val="24"/>
        </w:rPr>
        <w:t>The Agrarian Credit and Development Agency is recast.</w:t>
      </w:r>
    </w:p>
    <w:p>
      <w:pPr>
        <w:spacing w:before="0" w:after="80" w:line="252" w:lineRule="auto"/>
        <w:jc w:val="both"/>
      </w:pPr>
      <w:r>
        <w:rPr>
          <w:rFonts w:ascii="Eloquia Text ExtLt" w:hAnsi="Eloquia Text ExtLt" w:cs="Eloquia Text ExtLt"/>
          <w:b w:val="0"/>
          <w:i w:val="0"/>
          <w:color w:val="000000"/>
          <w:sz w:val="18"/>
        </w:rPr>
        <w:t>On 8 June the President amended the founding statute of the Agrarian Credit and Development Agency under the Ministry of Agriculture — the 2015 decree (No. 571) that defines the body — together with related instruments governing state support to farming. The changes refit the agency that channels concessional finance into the rural economy.</w:t>
      </w:r>
    </w:p>
    <w:p>
      <w:pPr>
        <w:spacing w:before="0" w:after="80" w:line="252" w:lineRule="auto"/>
        <w:jc w:val="both"/>
      </w:pPr>
      <w:r>
        <w:rPr>
          <w:rFonts w:ascii="Eloquia Text ExtLt" w:hAnsi="Eloquia Text ExtLt" w:cs="Eloquia Text ExtLt"/>
          <w:b w:val="0"/>
          <w:i w:val="0"/>
          <w:color w:val="000000"/>
          <w:sz w:val="18"/>
        </w:rPr>
        <w:t>Coming a day before the broader entrepreneur-credit reform, the measure signals that agriculture is to be a primary beneficiary of the diversification drive. Agribusiness clients should expect revised lending criteria and, potentially, a wider mandate for the agency.</w:t>
      </w:r>
    </w:p>
    <w:p>
      <w:pPr>
        <w:spacing w:before="0" w:after="120" w:line="240" w:lineRule="auto"/>
        <w:jc w:val="both"/>
      </w:pPr>
      <w:r>
        <w:rPr>
          <w:rFonts w:ascii="Times New Roman" w:hAnsi="Times New Roman" w:cs="Times New Roman"/>
          <w:b w:val="0"/>
          <w:i/>
          <w:color w:val="8A6D1E"/>
          <w:sz w:val="16"/>
        </w:rPr>
        <w:t>Source · e-qanun.az/framework/</w:t>
      </w:r>
      <w:hyperlink r:id="rId11">
        <w:r>
          <w:rPr>
            <w:rFonts w:ascii="Times New Roman" w:hAnsi="Times New Roman" w:cs="Times New Roman"/>
            <w:sz w:val="16"/>
            <w:i/>
            <w:color w:val="8A6D1E"/>
            <w:u w:val="single"/>
          </w:rPr>
          <w:t xml:space="preserve">61985</w:t>
        </w:r>
      </w:hyperlink>
    </w:p>
    <w:p>
      <w:pPr>
        <w:spacing w:before="240" w:after="0" w:line="240" w:lineRule="auto"/>
        <w:jc w:val="center"/>
      </w:pPr>
      <w:r>
        <w:rPr>
          <w:rFonts w:ascii="Eloquia Text ExtLt" w:hAnsi="Eloquia Text ExtLt" w:cs="Eloquia Text ExtLt"/>
          <w:b/>
          <w:i w:val="0"/>
          <w:color w:val="3B3838"/>
          <w:sz w:val="56"/>
        </w:rPr>
        <w:t>04</w:t>
      </w:r>
    </w:p>
    <w:p>
      <w:pPr>
        <w:spacing w:before="0" w:after="20" w:line="240" w:lineRule="auto"/>
        <w:jc w:val="center"/>
      </w:pPr>
      <w:r>
        <w:rPr>
          <w:rFonts w:ascii="Times New Roman" w:hAnsi="Times New Roman" w:cs="Times New Roman"/>
          <w:b/>
          <w:i w:val="0"/>
          <w:color w:val="806000"/>
          <w:sz w:val="14"/>
        </w:rPr>
        <w:t>PRESIDENT · DECREE · 12 JUNE 2026</w:t>
      </w:r>
    </w:p>
    <w:p>
      <w:pPr>
        <w:spacing w:before="0" w:after="80" w:line="240" w:lineRule="auto"/>
        <w:jc w:val="center"/>
      </w:pPr>
      <w:r>
        <w:rPr>
          <w:rFonts w:ascii="Times New Roman" w:hAnsi="Times New Roman" w:cs="Times New Roman"/>
          <w:b/>
          <w:i w:val="0"/>
          <w:color w:val="1F3864"/>
          <w:sz w:val="24"/>
        </w:rPr>
        <w:t>A single rulebook for the country’s airports.</w:t>
      </w:r>
    </w:p>
    <w:p>
      <w:pPr>
        <w:spacing w:before="0" w:after="80" w:line="252" w:lineRule="auto"/>
        <w:jc w:val="both"/>
      </w:pPr>
      <w:r>
        <w:rPr>
          <w:rFonts w:ascii="Eloquia Text ExtLt" w:hAnsi="Eloquia Text ExtLt" w:cs="Eloquia Text ExtLt"/>
          <w:b w:val="0"/>
          <w:i w:val="0"/>
          <w:color w:val="000000"/>
          <w:sz w:val="18"/>
        </w:rPr>
        <w:t>The President approved, on 12 June, a comprehensive set of Rules on the Management of Airports (Aerodromes), issued under the constitutional power to regulate (Article 109.32) and framed as part of measures to improve management in civil aviation. The Rules establish the governance model, operational standards and responsibilities that will bind airport operators.</w:t>
      </w:r>
    </w:p>
    <w:p>
      <w:pPr>
        <w:spacing w:before="0" w:after="80" w:line="252" w:lineRule="auto"/>
        <w:jc w:val="both"/>
      </w:pPr>
      <w:r>
        <w:rPr>
          <w:rFonts w:ascii="Eloquia Text ExtLt" w:hAnsi="Eloquia Text ExtLt" w:cs="Eloquia Text ExtLt"/>
          <w:b w:val="0"/>
          <w:i w:val="0"/>
          <w:color w:val="000000"/>
          <w:sz w:val="18"/>
        </w:rPr>
        <w:t>For parties to concession, ground-handling, leasing or infrastructure agreements at the country’s airports, the decree introduces a new compliance baseline. Existing contracts should be reviewed against the Rules, and any transitional provisions noted.</w:t>
      </w:r>
    </w:p>
    <w:p>
      <w:pPr>
        <w:spacing w:before="0" w:after="120" w:line="240" w:lineRule="auto"/>
        <w:jc w:val="both"/>
      </w:pPr>
      <w:r>
        <w:rPr>
          <w:rFonts w:ascii="Times New Roman" w:hAnsi="Times New Roman" w:cs="Times New Roman"/>
          <w:b w:val="0"/>
          <w:i/>
          <w:color w:val="8A6D1E"/>
          <w:sz w:val="16"/>
        </w:rPr>
        <w:t xml:space="preserve">Source · </w:t>
      </w:r>
      <w:hyperlink r:id="rId12">
        <w:r>
          <w:rPr>
            <w:rFonts w:ascii="Times New Roman" w:hAnsi="Times New Roman" w:cs="Times New Roman"/>
            <w:sz w:val="16"/>
            <w:i/>
            <w:color w:val="8A6D1E"/>
            <w:u w:val="single"/>
          </w:rPr>
          <w:t xml:space="preserve">president.az/articles/view/72735</w:t>
        </w:r>
      </w:hyperlink>
      <w:r>
        <w:rPr>
          <w:rFonts w:ascii="Times New Roman" w:hAnsi="Times New Roman" w:cs="Times New Roman"/>
          <w:b w:val="0"/>
          <w:i/>
          <w:color w:val="8A6D1E"/>
          <w:sz w:val="16"/>
        </w:rPr>
        <w:t xml:space="preserve"> (not yet registered on e-qanun)</w:t>
      </w:r>
    </w:p>
    <w:p>
      <w:pPr>
        <w:spacing w:before="240" w:after="0" w:line="240" w:lineRule="auto"/>
        <w:jc w:val="center"/>
      </w:pPr>
      <w:r>
        <w:rPr>
          <w:rFonts w:ascii="Eloquia Text ExtLt" w:hAnsi="Eloquia Text ExtLt" w:cs="Eloquia Text ExtLt"/>
          <w:b/>
          <w:i w:val="0"/>
          <w:color w:val="3B3838"/>
          <w:sz w:val="56"/>
        </w:rPr>
        <w:t>05</w:t>
      </w:r>
    </w:p>
    <w:p>
      <w:pPr>
        <w:spacing w:before="0" w:after="20" w:line="240" w:lineRule="auto"/>
        <w:jc w:val="center"/>
      </w:pPr>
      <w:r>
        <w:rPr>
          <w:rFonts w:ascii="Times New Roman" w:hAnsi="Times New Roman" w:cs="Times New Roman"/>
          <w:b/>
          <w:i w:val="0"/>
          <w:color w:val="806000"/>
          <w:sz w:val="14"/>
        </w:rPr>
        <w:t>PRESIDENT · DECREE · 10 JUNE 2026</w:t>
      </w:r>
    </w:p>
    <w:p>
      <w:pPr>
        <w:spacing w:before="0" w:after="80" w:line="240" w:lineRule="auto"/>
        <w:jc w:val="center"/>
      </w:pPr>
      <w:r>
        <w:rPr>
          <w:rFonts w:ascii="Times New Roman" w:hAnsi="Times New Roman" w:cs="Times New Roman"/>
          <w:b/>
          <w:i w:val="0"/>
          <w:color w:val="1F3864"/>
          <w:sz w:val="24"/>
        </w:rPr>
        <w:t>The capital’s administration is restructured.</w:t>
      </w:r>
    </w:p>
    <w:p>
      <w:pPr>
        <w:spacing w:before="0" w:after="80" w:line="252" w:lineRule="auto"/>
        <w:jc w:val="both"/>
      </w:pPr>
      <w:r>
        <w:rPr>
          <w:rFonts w:ascii="Eloquia Text ExtLt" w:hAnsi="Eloquia Text ExtLt" w:cs="Eloquia Text ExtLt"/>
          <w:b w:val="0"/>
          <w:i w:val="0"/>
          <w:color w:val="000000"/>
          <w:sz w:val="18"/>
        </w:rPr>
        <w:t>A decree of 10 June reorganises the structure and management of the Baku City Executive Authority, the body that administers the capital. The reform adjusts the internal architecture and lines of management of the country’s largest municipal administration.</w:t>
      </w:r>
    </w:p>
    <w:p>
      <w:pPr>
        <w:spacing w:before="0" w:after="80" w:line="252" w:lineRule="auto"/>
        <w:jc w:val="both"/>
      </w:pPr>
      <w:r>
        <w:rPr>
          <w:rFonts w:ascii="Eloquia Text ExtLt" w:hAnsi="Eloquia Text ExtLt" w:cs="Eloquia Text ExtLt"/>
          <w:b w:val="0"/>
          <w:i w:val="0"/>
          <w:color w:val="000000"/>
          <w:sz w:val="18"/>
        </w:rPr>
        <w:t>Governance reforms of this kind tend to ripple outward — into procurement, permitting and the handling of municipal matters generally. Clients with dealings before the Baku authority should watch for consequential changes to competences and points of contact.</w:t>
      </w:r>
    </w:p>
    <w:p>
      <w:pPr>
        <w:spacing w:before="0" w:after="120" w:line="240" w:lineRule="auto"/>
        <w:jc w:val="both"/>
      </w:pPr>
      <w:r>
        <w:rPr>
          <w:rFonts w:ascii="Times New Roman" w:hAnsi="Times New Roman" w:cs="Times New Roman"/>
          <w:b w:val="0"/>
          <w:i/>
          <w:color w:val="8A6D1E"/>
          <w:sz w:val="16"/>
        </w:rPr>
        <w:t>Source · e-qanun.az/framework/</w:t>
      </w:r>
      <w:hyperlink r:id="rId13">
        <w:r>
          <w:rPr>
            <w:rFonts w:ascii="Times New Roman" w:hAnsi="Times New Roman" w:cs="Times New Roman"/>
            <w:sz w:val="16"/>
            <w:i/>
            <w:color w:val="8A6D1E"/>
            <w:u w:val="single"/>
          </w:rPr>
          <w:t xml:space="preserve">62002</w:t>
        </w:r>
      </w:hyperlink>
    </w:p>
    <w:p>
      <w:pPr>
        <w:spacing w:before="240" w:after="0" w:line="240" w:lineRule="auto"/>
        <w:jc w:val="center"/>
      </w:pPr>
      <w:r>
        <w:rPr>
          <w:rFonts w:ascii="Eloquia Text ExtLt" w:hAnsi="Eloquia Text ExtLt" w:cs="Eloquia Text ExtLt"/>
          <w:b/>
          <w:i w:val="0"/>
          <w:color w:val="3B3838"/>
          <w:sz w:val="56"/>
        </w:rPr>
        <w:t>06</w:t>
      </w:r>
    </w:p>
    <w:p>
      <w:pPr>
        <w:spacing w:before="0" w:after="20" w:line="240" w:lineRule="auto"/>
        <w:jc w:val="center"/>
      </w:pPr>
      <w:r>
        <w:rPr>
          <w:rFonts w:ascii="Times New Roman" w:hAnsi="Times New Roman" w:cs="Times New Roman"/>
          <w:b/>
          <w:i w:val="0"/>
          <w:color w:val="806000"/>
          <w:sz w:val="14"/>
        </w:rPr>
        <w:t>PRESIDENT · DECREE · 10 JUNE 2026</w:t>
      </w:r>
    </w:p>
    <w:p>
      <w:pPr>
        <w:spacing w:before="0" w:after="80" w:line="240" w:lineRule="auto"/>
        <w:jc w:val="center"/>
      </w:pPr>
      <w:r>
        <w:rPr>
          <w:rFonts w:ascii="Times New Roman" w:hAnsi="Times New Roman" w:cs="Times New Roman"/>
          <w:b/>
          <w:i w:val="0"/>
          <w:color w:val="1F3864"/>
          <w:sz w:val="24"/>
        </w:rPr>
        <w:t>The new citizens’-appeals law takes effect.</w:t>
      </w:r>
    </w:p>
    <w:p>
      <w:pPr>
        <w:spacing w:before="0" w:after="80" w:line="252" w:lineRule="auto"/>
        <w:jc w:val="both"/>
      </w:pPr>
      <w:r>
        <w:rPr>
          <w:rFonts w:ascii="Eloquia Text ExtLt" w:hAnsi="Eloquia Text ExtLt" w:cs="Eloquia Text ExtLt"/>
          <w:b w:val="0"/>
          <w:i w:val="0"/>
          <w:color w:val="000000"/>
          <w:sz w:val="18"/>
        </w:rPr>
        <w:t>The President brought into force the 26 May amendments to the Law on Citizens’ Appeals (No. 415-VIIQD) and, in the same decree, amended the 2016 Rules (approved by Decree No. 950) on the handling of citizens’ appeals across state and municipal bodies, state-controlled legal entities and budget organisations.</w:t>
      </w:r>
    </w:p>
    <w:p>
      <w:pPr>
        <w:spacing w:before="0" w:after="80" w:line="252" w:lineRule="auto"/>
        <w:jc w:val="both"/>
      </w:pPr>
      <w:r>
        <w:rPr>
          <w:rFonts w:ascii="Eloquia Text ExtLt" w:hAnsi="Eloquia Text ExtLt" w:cs="Eloquia Text ExtLt"/>
          <w:b w:val="0"/>
          <w:i w:val="0"/>
          <w:color w:val="000000"/>
          <w:sz w:val="18"/>
        </w:rPr>
        <w:t>The measure tightens the procedural framework that governs how public bodies receive and answer citizens. Administrative-law practitioners should note the revised record-keeping and response obligations, which take effect immediately.</w:t>
      </w:r>
    </w:p>
    <w:p>
      <w:pPr>
        <w:spacing w:before="0" w:after="120" w:line="240" w:lineRule="auto"/>
        <w:jc w:val="both"/>
      </w:pPr>
      <w:r>
        <w:rPr>
          <w:rFonts w:ascii="Times New Roman" w:hAnsi="Times New Roman" w:cs="Times New Roman"/>
          <w:b w:val="0"/>
          <w:i/>
          <w:color w:val="8A6D1E"/>
          <w:sz w:val="16"/>
        </w:rPr>
        <w:t>Source · e-qanun.az/framework/</w:t>
      </w:r>
      <w:hyperlink r:id="rId14">
        <w:r>
          <w:rPr>
            <w:rFonts w:ascii="Times New Roman" w:hAnsi="Times New Roman" w:cs="Times New Roman"/>
            <w:sz w:val="16"/>
            <w:i/>
            <w:color w:val="8A6D1E"/>
            <w:u w:val="single"/>
          </w:rPr>
          <w:t xml:space="preserve">62000</w:t>
        </w:r>
      </w:hyperlink>
    </w:p>
    <w:p>
      <w:pPr>
        <w:spacing w:before="240" w:after="0" w:line="240" w:lineRule="auto"/>
        <w:jc w:val="center"/>
      </w:pPr>
      <w:r>
        <w:rPr>
          <w:rFonts w:ascii="Eloquia Text ExtLt" w:hAnsi="Eloquia Text ExtLt" w:cs="Eloquia Text ExtLt"/>
          <w:b/>
          <w:i w:val="0"/>
          <w:color w:val="3B3838"/>
          <w:sz w:val="56"/>
        </w:rPr>
        <w:t>07</w:t>
      </w:r>
    </w:p>
    <w:p>
      <w:pPr>
        <w:spacing w:before="0" w:after="20" w:line="240" w:lineRule="auto"/>
        <w:jc w:val="center"/>
      </w:pPr>
      <w:r>
        <w:rPr>
          <w:rFonts w:ascii="Times New Roman" w:hAnsi="Times New Roman" w:cs="Times New Roman"/>
          <w:b/>
          <w:i w:val="0"/>
          <w:color w:val="806000"/>
          <w:sz w:val="14"/>
        </w:rPr>
        <w:t>CABINET · DECISION No. 171 · 9 JUNE 2026</w:t>
      </w:r>
    </w:p>
    <w:p>
      <w:pPr>
        <w:spacing w:before="0" w:after="80" w:line="240" w:lineRule="auto"/>
        <w:jc w:val="center"/>
      </w:pPr>
      <w:r>
        <w:rPr>
          <w:rFonts w:ascii="Times New Roman" w:hAnsi="Times New Roman" w:cs="Times New Roman"/>
          <w:b/>
          <w:i w:val="0"/>
          <w:color w:val="1F3864"/>
          <w:sz w:val="24"/>
        </w:rPr>
        <w:t>Rules adopted for the national rail network.</w:t>
      </w:r>
    </w:p>
    <w:p>
      <w:pPr>
        <w:spacing w:before="0" w:after="80" w:line="252" w:lineRule="auto"/>
        <w:jc w:val="both"/>
      </w:pPr>
      <w:r>
        <w:rPr>
          <w:rFonts w:ascii="Eloquia Text ExtLt" w:hAnsi="Eloquia Text ExtLt" w:cs="Eloquia Text ExtLt"/>
          <w:b w:val="0"/>
          <w:i w:val="0"/>
          <w:color w:val="000000"/>
          <w:sz w:val="18"/>
        </w:rPr>
        <w:t>The Cabinet of Ministers approved Rules on the maintenance and use of general-use railway transport infrastructure — a foundational regulation for the rail sector. The Rules govern how the publicly accessible network is kept up and accessed by operators.</w:t>
      </w:r>
    </w:p>
    <w:p>
      <w:pPr>
        <w:spacing w:before="0" w:after="80" w:line="252" w:lineRule="auto"/>
        <w:jc w:val="both"/>
      </w:pPr>
      <w:r>
        <w:rPr>
          <w:rFonts w:ascii="Eloquia Text ExtLt" w:hAnsi="Eloquia Text ExtLt" w:cs="Eloquia Text ExtLt"/>
          <w:b w:val="0"/>
          <w:i w:val="0"/>
          <w:color w:val="000000"/>
          <w:sz w:val="18"/>
        </w:rPr>
        <w:t>For freight forwarders, infrastructure contractors and any party to a rail-access arrangement, the decision sets the terms of engagement with the network. It is the most structurally significant of the Cabinet’s eleven decisions this week.</w:t>
      </w:r>
    </w:p>
    <w:p>
      <w:pPr>
        <w:spacing w:before="0" w:after="120" w:line="240" w:lineRule="auto"/>
        <w:jc w:val="both"/>
      </w:pPr>
      <w:r>
        <w:rPr>
          <w:rFonts w:ascii="Times New Roman" w:hAnsi="Times New Roman" w:cs="Times New Roman"/>
          <w:b w:val="0"/>
          <w:i/>
          <w:color w:val="8A6D1E"/>
          <w:sz w:val="16"/>
        </w:rPr>
        <w:t>Source · e-qanun.az/framework/</w:t>
      </w:r>
      <w:hyperlink r:id="rId15">
        <w:r>
          <w:rPr>
            <w:rFonts w:ascii="Times New Roman" w:hAnsi="Times New Roman" w:cs="Times New Roman"/>
            <w:sz w:val="16"/>
            <w:i/>
            <w:color w:val="8A6D1E"/>
            <w:u w:val="single"/>
          </w:rPr>
          <w:t xml:space="preserve">61993</w:t>
        </w:r>
      </w:hyperlink>
    </w:p>
    <w:p>
      <w:pPr>
        <w:spacing w:before="240" w:after="0" w:line="240" w:lineRule="auto"/>
        <w:jc w:val="center"/>
      </w:pPr>
      <w:r>
        <w:rPr>
          <w:rFonts w:ascii="Eloquia Text ExtLt" w:hAnsi="Eloquia Text ExtLt" w:cs="Eloquia Text ExtLt"/>
          <w:b/>
          <w:i w:val="0"/>
          <w:color w:val="3B3838"/>
          <w:sz w:val="56"/>
        </w:rPr>
        <w:t>08</w:t>
      </w:r>
    </w:p>
    <w:p>
      <w:pPr>
        <w:spacing w:before="0" w:after="20" w:line="240" w:lineRule="auto"/>
        <w:jc w:val="center"/>
      </w:pPr>
      <w:r>
        <w:rPr>
          <w:rFonts w:ascii="Times New Roman" w:hAnsi="Times New Roman" w:cs="Times New Roman"/>
          <w:b/>
          <w:i w:val="0"/>
          <w:color w:val="806000"/>
          <w:sz w:val="14"/>
        </w:rPr>
        <w:t>CABINET · DECISION No. 173 · 9 JUNE 2026</w:t>
      </w:r>
    </w:p>
    <w:p>
      <w:pPr>
        <w:spacing w:before="0" w:after="80" w:line="240" w:lineRule="auto"/>
        <w:jc w:val="center"/>
      </w:pPr>
      <w:r>
        <w:rPr>
          <w:rFonts w:ascii="Times New Roman" w:hAnsi="Times New Roman" w:cs="Times New Roman"/>
          <w:b/>
          <w:i w:val="0"/>
          <w:color w:val="1F3864"/>
          <w:sz w:val="24"/>
        </w:rPr>
        <w:t>The gas-supply rulebook is rewritten.</w:t>
      </w:r>
    </w:p>
    <w:p>
      <w:pPr>
        <w:spacing w:before="0" w:after="80" w:line="252" w:lineRule="auto"/>
        <w:jc w:val="both"/>
      </w:pPr>
      <w:r>
        <w:rPr>
          <w:rFonts w:ascii="Eloquia Text ExtLt" w:hAnsi="Eloquia Text ExtLt" w:cs="Eloquia Text ExtLt"/>
          <w:b w:val="0"/>
          <w:i w:val="0"/>
          <w:color w:val="000000"/>
          <w:sz w:val="18"/>
        </w:rPr>
        <w:t>Implementing the 2025 Law on Gas Supply (No. 233-VIIQ), the Cabinet amended a series of its own decisions and repealed three legacy instruments — rules dating to 1999 and 2023 on gas distribution and on the construction and operation of gas installations. The effect is to consolidate the sector under the current statutory regime.</w:t>
      </w:r>
    </w:p>
    <w:p>
      <w:pPr>
        <w:spacing w:before="0" w:after="80" w:line="252" w:lineRule="auto"/>
        <w:jc w:val="both"/>
      </w:pPr>
      <w:r>
        <w:rPr>
          <w:rFonts w:ascii="Eloquia Text ExtLt" w:hAnsi="Eloquia Text ExtLt" w:cs="Eloquia Text ExtLt"/>
          <w:b w:val="0"/>
          <w:i w:val="0"/>
          <w:color w:val="000000"/>
          <w:sz w:val="18"/>
        </w:rPr>
        <w:t>Distributors and large industrial consumers should map the repealed rules against the new framework to confirm that internal compliance procedures remain valid.</w:t>
      </w:r>
    </w:p>
    <w:p>
      <w:pPr>
        <w:spacing w:before="0" w:after="120" w:line="240" w:lineRule="auto"/>
        <w:jc w:val="both"/>
      </w:pPr>
      <w:r>
        <w:rPr>
          <w:rFonts w:ascii="Times New Roman" w:hAnsi="Times New Roman" w:cs="Times New Roman"/>
          <w:b w:val="0"/>
          <w:i/>
          <w:color w:val="8A6D1E"/>
          <w:sz w:val="16"/>
        </w:rPr>
        <w:t>Source · e-qanun.az/framework/</w:t>
      </w:r>
      <w:hyperlink r:id="rId16">
        <w:r>
          <w:rPr>
            <w:rFonts w:ascii="Times New Roman" w:hAnsi="Times New Roman" w:cs="Times New Roman"/>
            <w:sz w:val="16"/>
            <w:i/>
            <w:color w:val="8A6D1E"/>
            <w:u w:val="single"/>
          </w:rPr>
          <w:t xml:space="preserve">61994</w:t>
        </w:r>
      </w:hyperlink>
    </w:p>
    <w:p>
      <w:pPr>
        <w:spacing w:before="240" w:after="0" w:line="240" w:lineRule="auto"/>
        <w:jc w:val="center"/>
      </w:pPr>
      <w:r>
        <w:rPr>
          <w:rFonts w:ascii="Eloquia Text ExtLt" w:hAnsi="Eloquia Text ExtLt" w:cs="Eloquia Text ExtLt"/>
          <w:b/>
          <w:i w:val="0"/>
          <w:color w:val="3B3838"/>
          <w:sz w:val="56"/>
        </w:rPr>
        <w:t>09</w:t>
      </w:r>
    </w:p>
    <w:p>
      <w:pPr>
        <w:spacing w:before="0" w:after="20" w:line="240" w:lineRule="auto"/>
        <w:jc w:val="center"/>
      </w:pPr>
      <w:r>
        <w:rPr>
          <w:rFonts w:ascii="Times New Roman" w:hAnsi="Times New Roman" w:cs="Times New Roman"/>
          <w:b/>
          <w:i w:val="0"/>
          <w:color w:val="806000"/>
          <w:sz w:val="14"/>
        </w:rPr>
        <w:t>CABINET · DECISION No. 174 · 10 JUNE 2026</w:t>
      </w:r>
    </w:p>
    <w:p>
      <w:pPr>
        <w:spacing w:before="0" w:after="80" w:line="240" w:lineRule="auto"/>
        <w:jc w:val="center"/>
      </w:pPr>
      <w:r>
        <w:rPr>
          <w:rFonts w:ascii="Times New Roman" w:hAnsi="Times New Roman" w:cs="Times New Roman"/>
          <w:b/>
          <w:i w:val="0"/>
          <w:color w:val="1F3864"/>
          <w:sz w:val="24"/>
        </w:rPr>
        <w:t>State guarantees underpin a new upstream PSA.</w:t>
      </w:r>
    </w:p>
    <w:p>
      <w:pPr>
        <w:spacing w:before="0" w:after="80" w:line="252" w:lineRule="auto"/>
        <w:jc w:val="both"/>
      </w:pPr>
      <w:r>
        <w:rPr>
          <w:rFonts w:ascii="Eloquia Text ExtLt" w:hAnsi="Eloquia Text ExtLt" w:cs="Eloquia Text ExtLt"/>
          <w:b w:val="0"/>
          <w:i w:val="0"/>
          <w:color w:val="000000"/>
          <w:sz w:val="18"/>
        </w:rPr>
        <w:t>The Cabinet approved the Government’s guarantees and obligations under the production-sharing agreement between SOCAR and Gran Tierra Energy (Azerbaijan) GmbH, covering exploration, development and production across parts of the Quba, Qusar, Shabran, Siyazan and Khizi districts. The decision gives the sovereign backing that international upstream investors require.</w:t>
      </w:r>
    </w:p>
    <w:p>
      <w:pPr>
        <w:spacing w:before="0" w:after="80" w:line="252" w:lineRule="auto"/>
        <w:jc w:val="both"/>
      </w:pPr>
      <w:r>
        <w:rPr>
          <w:rFonts w:ascii="Eloquia Text ExtLt" w:hAnsi="Eloquia Text ExtLt" w:cs="Eloquia Text ExtLt"/>
          <w:b w:val="0"/>
          <w:i w:val="0"/>
          <w:color w:val="000000"/>
          <w:sz w:val="18"/>
        </w:rPr>
        <w:t>The award signals continued foreign-investor appetite for Azerbaijani acreage and provides a template for the contractual architecture of future production-sharing agreements.</w:t>
      </w:r>
    </w:p>
    <w:p>
      <w:pPr>
        <w:spacing w:before="0" w:after="120" w:line="240" w:lineRule="auto"/>
        <w:jc w:val="both"/>
      </w:pPr>
      <w:r>
        <w:rPr>
          <w:rFonts w:ascii="Times New Roman" w:hAnsi="Times New Roman" w:cs="Times New Roman"/>
          <w:b w:val="0"/>
          <w:i/>
          <w:color w:val="8A6D1E"/>
          <w:sz w:val="16"/>
        </w:rPr>
        <w:t>Source · e-qanun.az/framework/</w:t>
      </w:r>
      <w:hyperlink r:id="rId17">
        <w:r>
          <w:rPr>
            <w:rFonts w:ascii="Times New Roman" w:hAnsi="Times New Roman" w:cs="Times New Roman"/>
            <w:sz w:val="16"/>
            <w:i/>
            <w:color w:val="8A6D1E"/>
            <w:u w:val="single"/>
          </w:rPr>
          <w:t xml:space="preserve">62004</w:t>
        </w:r>
      </w:hyperlink>
    </w:p>
    <w:p>
      <w:pPr>
        <w:spacing w:before="240" w:after="0" w:line="240" w:lineRule="auto"/>
        <w:jc w:val="center"/>
      </w:pPr>
      <w:r>
        <w:rPr>
          <w:rFonts w:ascii="Eloquia Text ExtLt" w:hAnsi="Eloquia Text ExtLt" w:cs="Eloquia Text ExtLt"/>
          <w:b/>
          <w:i w:val="0"/>
          <w:color w:val="3B3838"/>
          <w:sz w:val="56"/>
        </w:rPr>
        <w:t>10</w:t>
      </w:r>
    </w:p>
    <w:p>
      <w:pPr>
        <w:spacing w:before="0" w:after="20" w:line="240" w:lineRule="auto"/>
        <w:jc w:val="center"/>
      </w:pPr>
      <w:r>
        <w:rPr>
          <w:rFonts w:ascii="Times New Roman" w:hAnsi="Times New Roman" w:cs="Times New Roman"/>
          <w:b/>
          <w:i w:val="0"/>
          <w:color w:val="806000"/>
          <w:sz w:val="14"/>
        </w:rPr>
        <w:t>CABINET · DECISIONS Nos. 176–178 · 12 JUNE 2026</w:t>
      </w:r>
    </w:p>
    <w:p>
      <w:pPr>
        <w:spacing w:before="0" w:after="80" w:line="240" w:lineRule="auto"/>
        <w:jc w:val="center"/>
      </w:pPr>
      <w:r>
        <w:rPr>
          <w:rFonts w:ascii="Times New Roman" w:hAnsi="Times New Roman" w:cs="Times New Roman"/>
          <w:b/>
          <w:i w:val="0"/>
          <w:color w:val="1F3864"/>
          <w:sz w:val="24"/>
        </w:rPr>
        <w:t>Three new sites earmarked for renewable energy.</w:t>
      </w:r>
    </w:p>
    <w:p>
      <w:pPr>
        <w:spacing w:before="0" w:after="80" w:line="252" w:lineRule="auto"/>
        <w:jc w:val="both"/>
      </w:pPr>
      <w:r>
        <w:rPr>
          <w:rFonts w:ascii="Eloquia Text ExtLt" w:hAnsi="Eloquia Text ExtLt" w:cs="Eloquia Text ExtLt"/>
          <w:b w:val="0"/>
          <w:i w:val="0"/>
          <w:color w:val="000000"/>
          <w:sz w:val="18"/>
        </w:rPr>
        <w:t>In a single sitting on 12 June the Cabinet designated two state-owned parcels in the Hacıqabul district as renewable-energy sites (Decisions Nos. 177 and 178) and amended its 2024 decision on a comparable site in Jabrayil (No. 176). The instruments enlarge the land bank available for solar and wind development.</w:t>
      </w:r>
    </w:p>
    <w:p>
      <w:pPr>
        <w:spacing w:before="0" w:after="80" w:line="252" w:lineRule="auto"/>
        <w:jc w:val="both"/>
      </w:pPr>
      <w:r>
        <w:rPr>
          <w:rFonts w:ascii="Eloquia Text ExtLt" w:hAnsi="Eloquia Text ExtLt" w:cs="Eloquia Text ExtLt"/>
          <w:b w:val="0"/>
          <w:i w:val="0"/>
          <w:color w:val="000000"/>
          <w:sz w:val="18"/>
        </w:rPr>
        <w:t>The Jabrayil amendment, revisiting a 2024 designation, shows the liberated-territories energy programme being refined in practice. Developers and lenders active in these districts should track the evolving site parameters.</w:t>
      </w:r>
    </w:p>
    <w:p>
      <w:pPr>
        <w:spacing w:before="0" w:after="120" w:line="240" w:lineRule="auto"/>
        <w:jc w:val="both"/>
      </w:pPr>
      <w:r>
        <w:rPr>
          <w:rFonts w:ascii="Times New Roman" w:hAnsi="Times New Roman" w:cs="Times New Roman"/>
          <w:b w:val="0"/>
          <w:i/>
          <w:color w:val="8A6D1E"/>
          <w:sz w:val="16"/>
        </w:rPr>
        <w:t xml:space="preserve">Source · </w:t>
      </w:r>
      <w:hyperlink r:id="rId18">
        <w:r>
          <w:rPr>
            <w:rFonts w:ascii="Times New Roman" w:hAnsi="Times New Roman" w:cs="Times New Roman"/>
            <w:sz w:val="16"/>
            <w:i/>
            <w:color w:val="8A6D1E"/>
            <w:u w:val="single"/>
          </w:rPr>
          <w:t xml:space="preserve">nk.gov.az · Qərar 178</w:t>
        </w:r>
      </w:hyperlink>
      <w:r>
        <w:rPr>
          <w:rFonts w:ascii="Times New Roman" w:hAnsi="Times New Roman" w:cs="Times New Roman"/>
          <w:b w:val="0"/>
          <w:i/>
          <w:color w:val="8A6D1E"/>
          <w:sz w:val="16"/>
        </w:rPr>
        <w:t xml:space="preserve"> (not yet registered on e-qanun)</w:t>
      </w:r>
    </w:p>
    <w:p>
      <w:pPr>
        <w:spacing w:before="240" w:after="0" w:line="240" w:lineRule="auto"/>
        <w:jc w:val="center"/>
      </w:pPr>
      <w:r>
        <w:rPr>
          <w:rFonts w:ascii="Eloquia Text ExtLt" w:hAnsi="Eloquia Text ExtLt" w:cs="Eloquia Text ExtLt"/>
          <w:b/>
          <w:i w:val="0"/>
          <w:color w:val="3B3838"/>
          <w:sz w:val="56"/>
        </w:rPr>
        <w:t>11</w:t>
      </w:r>
    </w:p>
    <w:p>
      <w:pPr>
        <w:spacing w:before="0" w:after="20" w:line="240" w:lineRule="auto"/>
        <w:jc w:val="center"/>
      </w:pPr>
      <w:r>
        <w:rPr>
          <w:rFonts w:ascii="Times New Roman" w:hAnsi="Times New Roman" w:cs="Times New Roman"/>
          <w:b/>
          <w:i w:val="0"/>
          <w:color w:val="806000"/>
          <w:sz w:val="14"/>
        </w:rPr>
        <w:t>CABINET · DECISION No. 169 · 9 JUNE 2026</w:t>
      </w:r>
    </w:p>
    <w:p>
      <w:pPr>
        <w:spacing w:before="0" w:after="80" w:line="240" w:lineRule="auto"/>
        <w:jc w:val="center"/>
      </w:pPr>
      <w:r>
        <w:rPr>
          <w:rFonts w:ascii="Times New Roman" w:hAnsi="Times New Roman" w:cs="Times New Roman"/>
          <w:b/>
          <w:i w:val="0"/>
          <w:color w:val="1F3864"/>
          <w:sz w:val="24"/>
        </w:rPr>
        <w:t>The security service gains a central analytics system.</w:t>
      </w:r>
    </w:p>
    <w:p>
      <w:pPr>
        <w:spacing w:before="0" w:after="80" w:line="252" w:lineRule="auto"/>
        <w:jc w:val="both"/>
      </w:pPr>
      <w:r>
        <w:rPr>
          <w:rFonts w:ascii="Eloquia Text ExtLt" w:hAnsi="Eloquia Text ExtLt" w:cs="Eloquia Text ExtLt"/>
          <w:b w:val="0"/>
          <w:i w:val="0"/>
          <w:color w:val="000000"/>
          <w:sz w:val="18"/>
        </w:rPr>
        <w:t>The Cabinet amended several of its decisions to give effect to a 2025 presidential decree (No. 533) establishing the Centralised Information and Digital Analytics System of the State Security Service. The decision aligns subordinate regulation with the new architecture for state-security data.</w:t>
      </w:r>
    </w:p>
    <w:p>
      <w:pPr>
        <w:spacing w:before="0" w:after="80" w:line="252" w:lineRule="auto"/>
        <w:jc w:val="both"/>
      </w:pPr>
      <w:r>
        <w:rPr>
          <w:rFonts w:ascii="Eloquia Text ExtLt" w:hAnsi="Eloquia Text ExtLt" w:cs="Eloquia Text ExtLt"/>
          <w:b w:val="0"/>
          <w:i w:val="0"/>
          <w:color w:val="000000"/>
          <w:sz w:val="18"/>
        </w:rPr>
        <w:t>While operationally sensitive, the measure forms part of a broader digitisation of the security apparatus and may bear on data-sharing obligations imposed on regulated entities.</w:t>
      </w:r>
    </w:p>
    <w:p>
      <w:pPr>
        <w:spacing w:before="0" w:after="120" w:line="240" w:lineRule="auto"/>
        <w:jc w:val="both"/>
      </w:pPr>
      <w:r>
        <w:rPr>
          <w:rFonts w:ascii="Times New Roman" w:hAnsi="Times New Roman" w:cs="Times New Roman"/>
          <w:b w:val="0"/>
          <w:i/>
          <w:color w:val="8A6D1E"/>
          <w:sz w:val="16"/>
        </w:rPr>
        <w:t>Source · e-qanun.az/framework/</w:t>
      </w:r>
      <w:hyperlink r:id="rId19">
        <w:r>
          <w:rPr>
            <w:rFonts w:ascii="Times New Roman" w:hAnsi="Times New Roman" w:cs="Times New Roman"/>
            <w:sz w:val="16"/>
            <w:i/>
            <w:color w:val="8A6D1E"/>
            <w:u w:val="single"/>
          </w:rPr>
          <w:t xml:space="preserve">61988</w:t>
        </w:r>
      </w:hyperlink>
    </w:p>
    <w:p>
      <w:pPr>
        <w:spacing w:before="240" w:after="0" w:line="240" w:lineRule="auto"/>
        <w:jc w:val="center"/>
      </w:pPr>
      <w:r>
        <w:rPr>
          <w:rFonts w:ascii="Eloquia Text ExtLt" w:hAnsi="Eloquia Text ExtLt" w:cs="Eloquia Text ExtLt"/>
          <w:b/>
          <w:i w:val="0"/>
          <w:color w:val="3B3838"/>
          <w:sz w:val="56"/>
        </w:rPr>
        <w:t>12</w:t>
      </w:r>
    </w:p>
    <w:p>
      <w:pPr>
        <w:spacing w:before="0" w:after="20" w:line="240" w:lineRule="auto"/>
        <w:jc w:val="center"/>
      </w:pPr>
      <w:r>
        <w:rPr>
          <w:rFonts w:ascii="Times New Roman" w:hAnsi="Times New Roman" w:cs="Times New Roman"/>
          <w:b/>
          <w:i w:val="0"/>
          <w:color w:val="806000"/>
          <w:sz w:val="14"/>
        </w:rPr>
        <w:t>CABINET · DECISION No. 170 · 9 JUNE 2026</w:t>
      </w:r>
    </w:p>
    <w:p>
      <w:pPr>
        <w:spacing w:before="0" w:after="80" w:line="240" w:lineRule="auto"/>
        <w:jc w:val="center"/>
      </w:pPr>
      <w:r>
        <w:rPr>
          <w:rFonts w:ascii="Times New Roman" w:hAnsi="Times New Roman" w:cs="Times New Roman"/>
          <w:b/>
          <w:i w:val="0"/>
          <w:color w:val="1F3864"/>
          <w:sz w:val="24"/>
        </w:rPr>
        <w:t>The mandatory-insurance benefit package is adjusted.</w:t>
      </w:r>
    </w:p>
    <w:p>
      <w:pPr>
        <w:spacing w:before="0" w:after="80" w:line="252" w:lineRule="auto"/>
        <w:jc w:val="both"/>
      </w:pPr>
      <w:r>
        <w:rPr>
          <w:rFonts w:ascii="Eloquia Text ExtLt" w:hAnsi="Eloquia Text ExtLt" w:cs="Eloquia Text ExtLt"/>
          <w:b w:val="0"/>
          <w:i w:val="0"/>
          <w:color w:val="000000"/>
          <w:sz w:val="18"/>
        </w:rPr>
        <w:t>The Cabinet amended the Mandatory Health Insurance Services Package — the schedule of services covered under the compulsory scheme, first approved in 2020. Changes to the package alter the scope of care that insured persons may claim and the corresponding obligations on providers.</w:t>
      </w:r>
    </w:p>
    <w:p>
      <w:pPr>
        <w:spacing w:before="0" w:after="80" w:line="252" w:lineRule="auto"/>
        <w:jc w:val="both"/>
      </w:pPr>
      <w:r>
        <w:rPr>
          <w:rFonts w:ascii="Eloquia Text ExtLt" w:hAnsi="Eloquia Text ExtLt" w:cs="Eloquia Text ExtLt"/>
          <w:b w:val="0"/>
          <w:i w:val="0"/>
          <w:color w:val="000000"/>
          <w:sz w:val="18"/>
        </w:rPr>
        <w:t>Employers and healthcare providers should confirm how the revised schedule affects coverage and reimbursement before the change takes effect.</w:t>
      </w:r>
    </w:p>
    <w:p>
      <w:pPr>
        <w:spacing w:before="0" w:after="120" w:line="240" w:lineRule="auto"/>
        <w:jc w:val="both"/>
      </w:pPr>
      <w:r>
        <w:rPr>
          <w:rFonts w:ascii="Times New Roman" w:hAnsi="Times New Roman" w:cs="Times New Roman"/>
          <w:b w:val="0"/>
          <w:i/>
          <w:color w:val="8A6D1E"/>
          <w:sz w:val="16"/>
        </w:rPr>
        <w:t>Source · e-qanun.az/framework/</w:t>
      </w:r>
      <w:hyperlink r:id="rId20">
        <w:r>
          <w:rPr>
            <w:rFonts w:ascii="Times New Roman" w:hAnsi="Times New Roman" w:cs="Times New Roman"/>
            <w:sz w:val="16"/>
            <w:i/>
            <w:color w:val="8A6D1E"/>
            <w:u w:val="single"/>
          </w:rPr>
          <w:t xml:space="preserve">61990</w:t>
        </w:r>
      </w:hyperlink>
    </w:p>
    <w:p>
      <w:pPr>
        <w:spacing w:before="240" w:after="0" w:line="240" w:lineRule="auto"/>
        <w:jc w:val="center"/>
      </w:pPr>
      <w:r>
        <w:rPr>
          <w:rFonts w:ascii="Eloquia Text ExtLt" w:hAnsi="Eloquia Text ExtLt" w:cs="Eloquia Text ExtLt"/>
          <w:b/>
          <w:i w:val="0"/>
          <w:color w:val="3B3838"/>
          <w:sz w:val="56"/>
        </w:rPr>
        <w:t>13</w:t>
      </w:r>
    </w:p>
    <w:p>
      <w:pPr>
        <w:spacing w:before="0" w:after="20" w:line="240" w:lineRule="auto"/>
        <w:jc w:val="center"/>
      </w:pPr>
      <w:r>
        <w:rPr>
          <w:rFonts w:ascii="Times New Roman" w:hAnsi="Times New Roman" w:cs="Times New Roman"/>
          <w:b/>
          <w:i w:val="0"/>
          <w:color w:val="806000"/>
          <w:sz w:val="14"/>
        </w:rPr>
        <w:t>CABINET · DECISION No. 168 · 9 JUNE 2026</w:t>
      </w:r>
    </w:p>
    <w:p>
      <w:pPr>
        <w:spacing w:before="0" w:after="80" w:line="240" w:lineRule="auto"/>
        <w:jc w:val="center"/>
      </w:pPr>
      <w:r>
        <w:rPr>
          <w:rFonts w:ascii="Times New Roman" w:hAnsi="Times New Roman" w:cs="Times New Roman"/>
          <w:b/>
          <w:i w:val="0"/>
          <w:color w:val="1F3864"/>
          <w:sz w:val="24"/>
        </w:rPr>
        <w:t>A framework for energy-efficiency data.</w:t>
      </w:r>
    </w:p>
    <w:p>
      <w:pPr>
        <w:spacing w:before="0" w:after="80" w:line="252" w:lineRule="auto"/>
        <w:jc w:val="both"/>
      </w:pPr>
      <w:r>
        <w:rPr>
          <w:rFonts w:ascii="Eloquia Text ExtLt" w:hAnsi="Eloquia Text ExtLt" w:cs="Eloquia Text ExtLt"/>
          <w:b w:val="0"/>
          <w:i w:val="0"/>
          <w:color w:val="000000"/>
          <w:sz w:val="18"/>
        </w:rPr>
        <w:t>The Cabinet approved the Regulation on the Energy Efficiency Information System, establishing the legal basis for collecting, monitoring and reporting energy-consumption data across the economy. The system is intended to underpin efficiency policy with reliable measurement.</w:t>
      </w:r>
    </w:p>
    <w:p>
      <w:pPr>
        <w:spacing w:before="0" w:after="80" w:line="252" w:lineRule="auto"/>
        <w:jc w:val="both"/>
      </w:pPr>
      <w:r>
        <w:rPr>
          <w:rFonts w:ascii="Eloquia Text ExtLt" w:hAnsi="Eloquia Text ExtLt" w:cs="Eloquia Text ExtLt"/>
          <w:b w:val="0"/>
          <w:i w:val="0"/>
          <w:color w:val="000000"/>
          <w:sz w:val="18"/>
        </w:rPr>
        <w:t>Energy-intensive enterprises should anticipate reporting duties once the system becomes operational.</w:t>
      </w:r>
    </w:p>
    <w:p>
      <w:pPr>
        <w:spacing w:before="0" w:after="120" w:line="240" w:lineRule="auto"/>
        <w:jc w:val="both"/>
      </w:pPr>
      <w:r>
        <w:rPr>
          <w:rFonts w:ascii="Times New Roman" w:hAnsi="Times New Roman" w:cs="Times New Roman"/>
          <w:b w:val="0"/>
          <w:i/>
          <w:color w:val="8A6D1E"/>
          <w:sz w:val="16"/>
        </w:rPr>
        <w:t>Source · e-qanun.az/framework/</w:t>
      </w:r>
      <w:hyperlink r:id="rId21">
        <w:r>
          <w:rPr>
            <w:rFonts w:ascii="Times New Roman" w:hAnsi="Times New Roman" w:cs="Times New Roman"/>
            <w:sz w:val="16"/>
            <w:i/>
            <w:color w:val="8A6D1E"/>
            <w:u w:val="single"/>
          </w:rPr>
          <w:t xml:space="preserve">61995</w:t>
        </w:r>
      </w:hyperlink>
    </w:p>
    <w:p>
      <w:pPr>
        <w:spacing w:before="240" w:after="0" w:line="240" w:lineRule="auto"/>
        <w:jc w:val="center"/>
      </w:pPr>
      <w:r>
        <w:rPr>
          <w:rFonts w:ascii="Eloquia Text ExtLt" w:hAnsi="Eloquia Text ExtLt" w:cs="Eloquia Text ExtLt"/>
          <w:b/>
          <w:i w:val="0"/>
          <w:color w:val="3B3838"/>
          <w:sz w:val="56"/>
        </w:rPr>
        <w:t>14</w:t>
      </w:r>
    </w:p>
    <w:p>
      <w:pPr>
        <w:spacing w:before="0" w:after="20" w:line="240" w:lineRule="auto"/>
        <w:jc w:val="center"/>
      </w:pPr>
      <w:r>
        <w:rPr>
          <w:rFonts w:ascii="Times New Roman" w:hAnsi="Times New Roman" w:cs="Times New Roman"/>
          <w:b/>
          <w:i w:val="0"/>
          <w:color w:val="806000"/>
          <w:sz w:val="14"/>
        </w:rPr>
        <w:t>CABINET · ORDERS · 9–10 JUNE 2026</w:t>
      </w:r>
    </w:p>
    <w:p>
      <w:pPr>
        <w:spacing w:before="0" w:after="80" w:line="240" w:lineRule="auto"/>
        <w:jc w:val="center"/>
      </w:pPr>
      <w:r>
        <w:rPr>
          <w:rFonts w:ascii="Times New Roman" w:hAnsi="Times New Roman" w:cs="Times New Roman"/>
          <w:b/>
          <w:i w:val="0"/>
          <w:color w:val="1F3864"/>
          <w:sz w:val="24"/>
        </w:rPr>
        <w:t>Four orders put recent presidential decrees into effect.</w:t>
      </w:r>
    </w:p>
    <w:p>
      <w:pPr>
        <w:spacing w:before="0" w:after="80" w:line="252" w:lineRule="auto"/>
        <w:jc w:val="both"/>
      </w:pPr>
      <w:r>
        <w:rPr>
          <w:rFonts w:ascii="Eloquia Text ExtLt" w:hAnsi="Eloquia Text ExtLt" w:cs="Eloquia Text ExtLt"/>
          <w:b w:val="0"/>
          <w:i w:val="0"/>
          <w:color w:val="000000"/>
          <w:sz w:val="18"/>
        </w:rPr>
        <w:t>Alongside its decisions, the Cabinet issued four implementing orders. Two of 10 June give effect to presidential decrees on the ASAN citizen-service agency (No. 678) and on Finance Ministry representation on the boards of state-owned entities (No. 675). Two of 9 June implement the renaming of territorial units in the Quba district (under Law No. 404-VIIQ) and changes to the State Agency for the Protection of Strategic Facilities.</w:t>
      </w:r>
    </w:p>
    <w:p>
      <w:pPr>
        <w:spacing w:before="0" w:after="80" w:line="252" w:lineRule="auto"/>
        <w:jc w:val="both"/>
      </w:pPr>
      <w:r>
        <w:rPr>
          <w:rFonts w:ascii="Eloquia Text ExtLt" w:hAnsi="Eloquia Text ExtLt" w:cs="Eloquia Text ExtLt"/>
          <w:b w:val="0"/>
          <w:i w:val="0"/>
          <w:color w:val="000000"/>
          <w:sz w:val="18"/>
        </w:rPr>
        <w:t>Individually routine, together they show the machinery by which presidential policy is translated into administrative practice within days of signature.</w:t>
      </w:r>
    </w:p>
    <w:p>
      <w:pPr>
        <w:spacing w:before="0" w:after="120" w:line="240" w:lineRule="auto"/>
        <w:jc w:val="both"/>
      </w:pPr>
      <w:r>
        <w:rPr>
          <w:rFonts w:ascii="Times New Roman" w:hAnsi="Times New Roman" w:cs="Times New Roman"/>
          <w:b w:val="0"/>
          <w:i/>
          <w:color w:val="8A6D1E"/>
          <w:sz w:val="16"/>
        </w:rPr>
        <w:t xml:space="preserve">Source · </w:t>
      </w:r>
      <w:hyperlink r:id="rId22">
        <w:r>
          <w:rPr>
            <w:rFonts w:ascii="Times New Roman" w:hAnsi="Times New Roman" w:cs="Times New Roman"/>
            <w:sz w:val="16"/>
            <w:i/>
            <w:color w:val="8A6D1E"/>
            <w:u w:val="single"/>
          </w:rPr>
          <w:t xml:space="preserve">nk.gov.az · Sərəncam 403s</w:t>
        </w:r>
      </w:hyperlink>
      <w:r>
        <w:rPr>
          <w:rFonts w:ascii="Times New Roman" w:hAnsi="Times New Roman" w:cs="Times New Roman"/>
          <w:b w:val="0"/>
          <w:i/>
          <w:color w:val="8A6D1E"/>
          <w:sz w:val="16"/>
        </w:rPr>
        <w:t xml:space="preserve"> (not yet registered on e-qanun)</w:t>
      </w:r>
    </w:p>
    <w:p>
      <w:pPr>
        <w:sectPr>
          <w:type w:val="continuous"/>
          <w:pgSz w:w="11909" w:h="16834"/>
          <w:pgMar w:top="720" w:right="720" w:bottom="720" w:left="720" w:header="720" w:footer="720" w:gutter="0"/>
          <w:cols w:space="708" w:num="3"/>
          <w:docGrid w:linePitch="360"/>
        </w:sectPr>
      </w:pPr>
    </w:p>
    <w:p>
      <w:pPr>
        <w:spacing w:before="120" w:after="40" w:line="240" w:lineRule="auto"/>
        <w:pBdr>
          <w:bottom w:val="single" w:sz="4" w:space="4" w:color="1F3864"/>
        </w:pBdr>
      </w:pPr>
    </w:p>
    <w:p>
      <w:pPr>
        <w:spacing w:before="0" w:after="40" w:line="240" w:lineRule="auto"/>
        <w:jc w:val="both"/>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Internal weekly digest of the legislative activity of the Republic of Azerbaijan, compiled by Omni Law Firm for informational purposes only. It does not constitute legal advice; consult the consolidated texts on e-qanun.az before relying on any item. Sources: president.az · nk.gov.az · meclis.gov.az · e-qanun.az · constcourt.gov.az</w:t>
      </w:r>
    </w:p>
    <w:p>
      <w:pPr>
        <w:spacing w:before="0" w:after="0" w:line="240" w:lineRule="auto"/>
      </w:pPr>
      <w:r>
        <w:rPr>
          <w:rFonts w:ascii="Eloquia Text ExtLt" w:hAnsi="Eloquia Text ExtLt" w:cs="Eloquia Text ExtLt"/>
          <w:b/>
          <w:i w:val="0"/>
          <w:color w:val="3B3838"/>
          <w:sz w:val="15"/>
        </w:rPr>
        <w:t>Issue No. 1  ·  Reporting period 5–12 June 2026  ·  © 2026 Omni Law Firm</w:t>
      </w:r>
    </w:p>
    <w:sectPr w:rsidR="00FC693F" w:rsidRPr="0006063C" w:rsidSect="00034616">
      <w:type w:val="continuous"/>
      <w:pgSz w:w="11909" w:h="16834"/>
      <w:pgMar w:top="720" w:right="720" w:bottom="720" w:left="720" w:header="720" w:footer="720"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Eloquia Text ExtLt" w:hAnsi="Eloquia Text ExtL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qanun.az/framework/61987" TargetMode="External"/><Relationship Id="rId10" Type="http://schemas.openxmlformats.org/officeDocument/2006/relationships/hyperlink" Target="https://e-qanun.az/framework/61986" TargetMode="External"/><Relationship Id="rId11" Type="http://schemas.openxmlformats.org/officeDocument/2006/relationships/hyperlink" Target="https://e-qanun.az/framework/61985" TargetMode="External"/><Relationship Id="rId12" Type="http://schemas.openxmlformats.org/officeDocument/2006/relationships/hyperlink" Target="https://president.az/az/articles/view/72735" TargetMode="External"/><Relationship Id="rId13" Type="http://schemas.openxmlformats.org/officeDocument/2006/relationships/hyperlink" Target="https://e-qanun.az/framework/62002" TargetMode="External"/><Relationship Id="rId14" Type="http://schemas.openxmlformats.org/officeDocument/2006/relationships/hyperlink" Target="https://e-qanun.az/framework/62000" TargetMode="External"/><Relationship Id="rId15" Type="http://schemas.openxmlformats.org/officeDocument/2006/relationships/hyperlink" Target="https://e-qanun.az/framework/61993" TargetMode="External"/><Relationship Id="rId16" Type="http://schemas.openxmlformats.org/officeDocument/2006/relationships/hyperlink" Target="https://e-qanun.az/framework/61994" TargetMode="External"/><Relationship Id="rId17" Type="http://schemas.openxmlformats.org/officeDocument/2006/relationships/hyperlink" Target="https://e-qanun.az/framework/62004" TargetMode="External"/><Relationship Id="rId18" Type="http://schemas.openxmlformats.org/officeDocument/2006/relationships/hyperlink" Target="https://nk.gov.az/az/senedler/qerarlar/haciqabul-rayonunun-inzibati-erazisinde-dovlet-mul-9551" TargetMode="External"/><Relationship Id="rId19" Type="http://schemas.openxmlformats.org/officeDocument/2006/relationships/hyperlink" Target="https://e-qanun.az/framework/61988" TargetMode="External"/><Relationship Id="rId20" Type="http://schemas.openxmlformats.org/officeDocument/2006/relationships/hyperlink" Target="https://e-qanun.az/framework/61990" TargetMode="External"/><Relationship Id="rId21" Type="http://schemas.openxmlformats.org/officeDocument/2006/relationships/hyperlink" Target="https://e-qanun.az/framework/61995" TargetMode="External"/><Relationship Id="rId22" Type="http://schemas.openxmlformats.org/officeDocument/2006/relationships/hyperlink" Target="https://nk.gov.az/az/senedler/serencamlar/azerbaycan-respublikasinin-prezidenti-yaninda-vete-9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