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24" w:space="6"/>
        </w:pBdr>
        <w:spacing w:after="0"/>
        <w:jc w:val="center"/>
      </w:pPr>
    </w:p>
    <w:p>
      <w:pPr>
        <w:spacing w:after="0" w:before="160"/>
        <w:jc w:val="center"/>
      </w:pPr>
      <w:r>
        <w:rPr>
          <w:b/>
          <w:bCs/>
          <w:sz w:val="68"/>
          <w:szCs w:val="68"/>
        </w:rPr>
        <w:t xml:space="preserve">OMNI </w:t>
      </w:r>
      <w:r>
        <w:rPr>
          <w:b w:val="false"/>
          <w:bCs w:val="false"/>
          <w:i/>
          <w:iCs/>
          <w:sz w:val="60"/>
          <w:szCs w:val="60"/>
        </w:rPr>
        <w:t xml:space="preserve">Law</w:t>
      </w:r>
      <w:r>
        <w:rPr>
          <w:b/>
          <w:bCs/>
          <w:sz w:val="68"/>
          <w:szCs w:val="68"/>
        </w:rPr>
        <w:t xml:space="preserve"> GAZETTE</w:t>
      </w:r>
    </w:p>
    <w:p>
      <w:pPr>
        <w:spacing w:after="120" w:before="60"/>
        <w:jc w:val="center"/>
      </w:pPr>
      <w:r>
        <w:rPr>
          <w:rFonts w:ascii="Arial" w:cs="Arial" w:eastAsia="Arial" w:hAnsi="Arial"/>
          <w:color w:val="444444"/>
          <w:spacing w:val="30"/>
          <w:sz w:val="16"/>
          <w:szCs w:val="16"/>
        </w:rPr>
        <w:t xml:space="preserve">LEGISLATIVE INTELLIGENCE FOR LEGAL PROFESSIONALS</w:t>
      </w:r>
    </w:p>
    <w:p>
      <w:pPr>
        <w:pBdr>
          <w:bottom w:val="single" w:color="1A1A1A" w:sz="20" w:space="6"/>
        </w:pBdr>
        <w:spacing w:after="80"/>
      </w:pPr>
    </w:p>
    <w:p>
      <w:pPr>
        <w:tabs>
          <w:tab w:val="center" w:pos="4824"/>
          <w:tab w:val="right" w:pos="9648"/>
        </w:tabs>
        <w:spacing w:after="300"/>
      </w:pPr>
      <w:r>
        <w:rPr>
          <w:rFonts w:ascii="Arial" w:cs="Arial" w:eastAsia="Arial" w:hAnsi="Arial"/>
          <w:b/>
          <w:bCs/>
          <w:color w:val="555555"/>
          <w:sz w:val="15"/>
          <w:szCs w:val="15"/>
        </w:rPr>
        <w:t xml:space="preserve">ISSUE No. 6</w:t>
      </w:r>
      <w:r>
        <w:rPr>
          <w:rFonts w:ascii="Arial" w:cs="Arial" w:eastAsia="Arial" w:hAnsi="Arial"/>
          <w:color w:val="555555"/>
          <w:sz w:val="15"/>
          <w:szCs w:val="15"/>
        </w:rPr>
        <w:t xml:space="preserve">	REPORTING PERIOD: 11 JULY – 18 JULY 2026</w:t>
      </w:r>
      <w:r>
        <w:rPr>
          <w:rFonts w:ascii="Arial" w:cs="Arial" w:eastAsia="Arial" w:hAnsi="Arial"/>
          <w:color w:val="555555"/>
          <w:sz w:val="15"/>
          <w:szCs w:val="15"/>
        </w:rPr>
        <w:t xml:space="preserve">	PUBLISHED: SATURDAY, 18 JULY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1A1A1A" w:val="clear"/>
            <w:tcMar>
              <w:top w:type="dxa" w:w="100"/>
              <w:left w:type="dxa" w:w="100"/>
              <w:bottom w:type="dxa" w:w="100"/>
              <w:right w:type="dxa" w:w="100"/>
            </w:tcMar>
          </w:tcPr>
          <w:p>
            <w:pPr>
              <w:jc w:val="center"/>
            </w:pPr>
            <w:r>
              <w:rPr>
                <w:rFonts w:ascii="Arial" w:cs="Arial" w:eastAsia="Arial" w:hAnsi="Arial"/>
                <w:b/>
                <w:bCs/>
                <w:color w:val="FFFFFF"/>
                <w:spacing w:val="20"/>
                <w:sz w:val="15"/>
                <w:szCs w:val="15"/>
              </w:rPr>
              <w:t xml:space="preserve">WEEK 29, 2026   ·   REPUBLIC OF AZERBAIJAN   ·   LEGISLATIVE MONITOR</w:t>
            </w:r>
          </w:p>
        </w:tc>
      </w:tr>
    </w:tbl>
    <w:p>
      <w:pPr>
        <w:spacing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9648"/>
            <w:tcBorders>
              <w:top w:val="single" w:color="CCCCCC" w:sz="4"/>
              <w:left w:val="single" w:color="1A1A1A" w:sz="24"/>
              <w:bottom w:val="single" w:color="CCCCCC" w:sz="4"/>
              <w:right w:val="single" w:color="CCCCCC" w:sz="4"/>
            </w:tcBorders>
            <w:shd w:fill="FAFAFA" w:val="clear"/>
            <w:tcMar>
              <w:top w:type="dxa" w:w="160"/>
              <w:left w:type="dxa" w:w="180"/>
              <w:bottom w:type="dxa" w:w="120"/>
              <w:right w:type="dxa" w:w="180"/>
            </w:tcMar>
          </w:tcPr>
          <w:p>
            <w:pPr>
              <w:pBdr>
                <w:bottom w:val="single" w:color="E0E0E0" w:sz="4" w:space="2"/>
              </w:pBdr>
              <w:spacing w:after="120"/>
            </w:pPr>
            <w:r>
              <w:rPr>
                <w:rFonts w:ascii="Arial" w:cs="Arial" w:eastAsia="Arial" w:hAnsi="Arial"/>
                <w:b/>
                <w:bCs/>
                <w:color w:val="555555"/>
                <w:spacing w:val="20"/>
                <w:sz w:val="13"/>
                <w:szCs w:val="13"/>
              </w:rPr>
              <w:t xml:space="preserve">THIS WEEK AT A GLANCE</w:t>
            </w:r>
          </w:p>
          <w:tbl>
            <w:tblPr>
              <w:tblW w:type="dxa" w:w="928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Mar>
                    <w:top w:type="dxa" w:w="120"/>
                    <w:left w:type="dxa" w:w="80"/>
                    <w:bottom w:type="dxa" w:w="120"/>
                    <w:right w:type="dxa" w:w="80"/>
                  </w:tcMar>
                </w:tcPr>
                <w:p>
                  <w:pPr>
                    <w:jc w:val="center"/>
                  </w:pPr>
                  <w:r>
                    <w:rPr>
                      <w:b/>
                      <w:bCs/>
                      <w:sz w:val="44"/>
                      <w:szCs w:val="44"/>
                    </w:rPr>
                    <w:t xml:space="preserve">19</w:t>
                  </w:r>
                </w:p>
                <w:p>
                  <w:pPr>
                    <w:jc w:val="center"/>
                  </w:pPr>
                  <w:r>
                    <w:rPr>
                      <w:rFonts w:ascii="Arial" w:cs="Arial" w:eastAsia="Arial" w:hAnsi="Arial"/>
                      <w:color w:val="555555"/>
                      <w:sz w:val="14"/>
                      <w:szCs w:val="14"/>
                    </w:rPr>
                    <w:t xml:space="preserve">Bills tabled at Milli Majlis (14 Jul)</w:t>
                  </w:r>
                </w:p>
              </w:tc>
              <w:tc>
                <w:tcPr>
                  <w:tcW w:type="dxa" w:w="2412"/>
                  <w:tcMar>
                    <w:top w:type="dxa" w:w="120"/>
                    <w:left w:type="dxa" w:w="80"/>
                    <w:bottom w:type="dxa" w:w="120"/>
                    <w:right w:type="dxa" w:w="80"/>
                  </w:tcMar>
                </w:tcPr>
                <w:p>
                  <w:pPr>
                    <w:jc w:val="center"/>
                  </w:pPr>
                  <w:r>
                    <w:rPr>
                      <w:b/>
                      <w:bCs/>
                      <w:sz w:val="44"/>
                      <w:szCs w:val="44"/>
                    </w:rPr>
                    <w:t xml:space="preserve">3</w:t>
                  </w:r>
                </w:p>
                <w:p>
                  <w:pPr>
                    <w:jc w:val="center"/>
                  </w:pPr>
                  <w:r>
                    <w:rPr>
                      <w:rFonts w:ascii="Arial" w:cs="Arial" w:eastAsia="Arial" w:hAnsi="Arial"/>
                      <w:color w:val="555555"/>
                      <w:sz w:val="14"/>
                      <w:szCs w:val="14"/>
                    </w:rPr>
                    <w:t xml:space="preserve">Cabinet of Ministers Decisions</w:t>
                  </w:r>
                </w:p>
              </w:tc>
              <w:tc>
                <w:tcPr>
                  <w:tcW w:type="dxa" w:w="2412"/>
                  <w:tcMar>
                    <w:top w:type="dxa" w:w="120"/>
                    <w:left w:type="dxa" w:w="80"/>
                    <w:bottom w:type="dxa" w:w="120"/>
                    <w:right w:type="dxa" w:w="80"/>
                  </w:tcMar>
                </w:tcPr>
                <w:p>
                  <w:pPr>
                    <w:jc w:val="center"/>
                  </w:pPr>
                  <w:r>
                    <w:rPr>
                      <w:b/>
                      <w:bCs/>
                      <w:sz w:val="44"/>
                      <w:szCs w:val="44"/>
                    </w:rPr>
                    <w:t xml:space="preserve">5</w:t>
                  </w:r>
                </w:p>
                <w:p>
                  <w:pPr>
                    <w:jc w:val="center"/>
                  </w:pPr>
                  <w:r>
                    <w:rPr>
                      <w:rFonts w:ascii="Arial" w:cs="Arial" w:eastAsia="Arial" w:hAnsi="Arial"/>
                      <w:color w:val="555555"/>
                      <w:sz w:val="14"/>
                      <w:szCs w:val="14"/>
                    </w:rPr>
                    <w:t xml:space="preserve">Cabinet of Ministers Orders</w:t>
                  </w:r>
                </w:p>
              </w:tc>
              <w:tc>
                <w:tcPr>
                  <w:tcW w:type="dxa" w:w="2412"/>
                  <w:tcMar>
                    <w:top w:type="dxa" w:w="120"/>
                    <w:left w:type="dxa" w:w="80"/>
                    <w:bottom w:type="dxa" w:w="120"/>
                    <w:right w:type="dxa" w:w="80"/>
                  </w:tcMar>
                </w:tcPr>
                <w:p>
                  <w:pPr>
                    <w:jc w:val="center"/>
                  </w:pPr>
                  <w:r>
                    <w:rPr>
                      <w:b/>
                      <w:bCs/>
                      <w:sz w:val="44"/>
                      <w:szCs w:val="44"/>
                    </w:rPr>
                    <w:t xml:space="preserve">5</w:t>
                  </w:r>
                </w:p>
                <w:p>
                  <w:pPr>
                    <w:jc w:val="center"/>
                  </w:pPr>
                  <w:r>
                    <w:rPr>
                      <w:rFonts w:ascii="Arial" w:cs="Arial" w:eastAsia="Arial" w:hAnsi="Arial"/>
                      <w:color w:val="555555"/>
                      <w:sz w:val="14"/>
                      <w:szCs w:val="14"/>
                    </w:rPr>
                    <w:t xml:space="preserve">Presidential Diplomatic Letters</w:t>
                  </w:r>
                </w:p>
              </w:tc>
            </w:tr>
          </w:tbl>
          <w:p/>
        </w:tc>
      </w:tr>
    </w:tbl>
    <w:p>
      <w:pPr>
        <w:spacing w:after="200"/>
      </w:pPr>
    </w:p>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PARLIAMENT OF AZERBAIJAN   </w:t>
      </w:r>
      <w:r>
        <w:rPr>
          <w:b/>
          <w:bCs/>
          <w:sz w:val="30"/>
          <w:szCs w:val="30"/>
        </w:rPr>
        <w:br/>
        <w:t xml:space="preserve">Milli Majlis</w:t>
      </w:r>
      <w:r>
        <w:rPr>
          <w:rFonts w:ascii="Arial" w:cs="Arial" w:eastAsia="Arial" w:hAnsi="Arial"/>
          <w:i/>
          <w:iCs/>
          <w:color w:val="888888"/>
          <w:sz w:val="16"/>
          <w:szCs w:val="16"/>
        </w:rPr>
        <w:t xml:space="preserve">	Bills &amp; Legislation — 14 July 2026</w:t>
      </w:r>
    </w:p>
    <w:p>
      <w:pPr>
        <w:spacing w:after="160"/>
      </w:pPr>
      <w:r>
        <w:rPr>
          <w:rFonts w:ascii="Arial" w:cs="Arial" w:eastAsia="Arial" w:hAnsi="Arial"/>
          <w:i w:val="false"/>
          <w:iCs w:val="false"/>
          <w:color w:val="555555"/>
          <w:sz w:val="18"/>
          <w:szCs w:val="18"/>
        </w:rPr>
        <w:t xml:space="preserve">The Milli Majlis tabled a single, unusually large batch of 19 bills on 14 July 2026, touching the Constitutional Law on Normative Legal Acts and amending large parts of the Civil, Criminal, Tax, Labor, Land, Administrative Offenses and Migration Codes in one sitting. This is the broadest omnibus package logged since the Gazette began tracking in June. No new laws were enacted during the reporting period — the most recent enacted law remains No. 441-VIIQD (10 July, customs tariff amendment), one day outside this window.</w:t>
      </w:r>
    </w:p>
    <w:p>
      <w:pPr>
        <w:spacing w:after="100"/>
        <w:ind w:left="431"/>
      </w:pPr>
      <w:r>
        <w:rPr>
          <w:b/>
          <w:bCs/>
          <w:sz w:val="19"/>
          <w:szCs w:val="19"/>
        </w:rPr>
        <w:t xml:space="preserve">1. </w:t>
      </w:r>
      <w:r>
        <w:rPr>
          <w:b/>
          <w:bCs/>
          <w:sz w:val="19"/>
          <w:szCs w:val="19"/>
        </w:rPr>
        <w:t xml:space="preserve">Constitutional Law "On Normative Legal Acts" — Amendment</w:t>
      </w:r>
      <w:r>
        <w:rPr>
          <w:rFonts w:ascii="Arial" w:cs="Arial" w:eastAsia="Arial" w:hAnsi="Arial"/>
          <w:i/>
          <w:iCs/>
          <w:color w:val="888888"/>
          <w:sz w:val="15"/>
          <w:szCs w:val="15"/>
        </w:rPr>
        <w:t xml:space="preserve">  —  Tabled</w:t>
      </w:r>
      <w:r>
        <w:rPr>
          <w:color w:val="555555"/>
          <w:sz w:val="17"/>
          <w:szCs w:val="17"/>
        </w:rPr>
        <w:br/>
        <w:t xml:space="preserve">Changes to the framework law governing how normative acts are drafted, adopted, and hierarchically ranked.</w:t>
      </w:r>
    </w:p>
    <w:p>
      <w:pPr>
        <w:spacing w:after="100"/>
        <w:ind w:left="431"/>
      </w:pPr>
      <w:r>
        <w:rPr>
          <w:b/>
          <w:bCs/>
          <w:sz w:val="19"/>
          <w:szCs w:val="19"/>
        </w:rPr>
        <w:t xml:space="preserve">2. </w:t>
      </w:r>
      <w:r>
        <w:rPr>
          <w:b/>
          <w:bCs/>
          <w:sz w:val="19"/>
          <w:szCs w:val="19"/>
        </w:rPr>
        <w:t xml:space="preserve">Public Service &amp; Media Laws — Joint Amendment</w:t>
      </w:r>
      <w:r>
        <w:rPr>
          <w:rFonts w:ascii="Arial" w:cs="Arial" w:eastAsia="Arial" w:hAnsi="Arial"/>
          <w:i/>
          <w:iCs/>
          <w:color w:val="888888"/>
          <w:sz w:val="15"/>
          <w:szCs w:val="15"/>
        </w:rPr>
        <w:t xml:space="preserve">  —  Tabled</w:t>
      </w:r>
      <w:r>
        <w:rPr>
          <w:color w:val="555555"/>
          <w:sz w:val="17"/>
          <w:szCs w:val="17"/>
        </w:rPr>
        <w:br/>
        <w:t xml:space="preserve">Simultaneous amendments to the Laws "On Public Service" and "On Media".</w:t>
      </w:r>
    </w:p>
    <w:p>
      <w:pPr>
        <w:spacing w:after="100"/>
        <w:ind w:left="431"/>
      </w:pPr>
      <w:r>
        <w:rPr>
          <w:b/>
          <w:bCs/>
          <w:sz w:val="19"/>
          <w:szCs w:val="19"/>
        </w:rPr>
        <w:t xml:space="preserve">3. </w:t>
      </w:r>
      <w:r>
        <w:rPr>
          <w:b/>
          <w:bCs/>
          <w:sz w:val="19"/>
          <w:szCs w:val="19"/>
        </w:rPr>
        <w:t xml:space="preserve">Law "On Crowdfunding"</w:t>
      </w:r>
      <w:r>
        <w:rPr>
          <w:rFonts w:ascii="Arial" w:cs="Arial" w:eastAsia="Arial" w:hAnsi="Arial"/>
          <w:i/>
          <w:iCs/>
          <w:color w:val="888888"/>
          <w:sz w:val="15"/>
          <w:szCs w:val="15"/>
        </w:rPr>
        <w:t xml:space="preserve">  —  Tabled — New Law</w:t>
      </w:r>
      <w:r>
        <w:rPr>
          <w:color w:val="555555"/>
          <w:sz w:val="17"/>
          <w:szCs w:val="17"/>
        </w:rPr>
        <w:br/>
        <w:t xml:space="preserve">New standalone law establishing a legal regime for crowdfunding platforms and offerings.</w:t>
      </w:r>
    </w:p>
    <w:p>
      <w:pPr>
        <w:spacing w:after="100"/>
        <w:ind w:left="431"/>
      </w:pPr>
      <w:r>
        <w:rPr>
          <w:b/>
          <w:bCs/>
          <w:sz w:val="19"/>
          <w:szCs w:val="19"/>
        </w:rPr>
        <w:t xml:space="preserve">4. </w:t>
      </w:r>
      <w:r>
        <w:rPr>
          <w:b/>
          <w:bCs/>
          <w:sz w:val="19"/>
          <w:szCs w:val="19"/>
        </w:rPr>
        <w:t xml:space="preserve">Omnibus Code Amendment I — Civil, Criminal &amp; Tax Codes</w:t>
      </w:r>
      <w:r>
        <w:rPr>
          <w:rFonts w:ascii="Arial" w:cs="Arial" w:eastAsia="Arial" w:hAnsi="Arial"/>
          <w:i/>
          <w:iCs/>
          <w:color w:val="888888"/>
          <w:sz w:val="15"/>
          <w:szCs w:val="15"/>
        </w:rPr>
        <w:t xml:space="preserve">  —  Tabled</w:t>
      </w:r>
      <w:r>
        <w:rPr>
          <w:color w:val="555555"/>
          <w:sz w:val="17"/>
          <w:szCs w:val="17"/>
        </w:rPr>
        <w:br/>
        <w:t xml:space="preserve">Multi-code package amending civil, criminal, and tax provisions.</w:t>
      </w:r>
    </w:p>
    <w:p>
      <w:pPr>
        <w:spacing w:after="100"/>
        <w:ind w:left="431"/>
      </w:pPr>
      <w:r>
        <w:rPr>
          <w:b/>
          <w:bCs/>
          <w:sz w:val="19"/>
          <w:szCs w:val="19"/>
        </w:rPr>
        <w:t xml:space="preserve">5. </w:t>
      </w:r>
      <w:r>
        <w:rPr>
          <w:b/>
          <w:bCs/>
          <w:sz w:val="19"/>
          <w:szCs w:val="19"/>
        </w:rPr>
        <w:t xml:space="preserve">Omnibus Code Amendment II — Labor Code, Civil Code, Currency &amp; Securities</w:t>
      </w:r>
      <w:r>
        <w:rPr>
          <w:rFonts w:ascii="Arial" w:cs="Arial" w:eastAsia="Arial" w:hAnsi="Arial"/>
          <w:i/>
          <w:iCs/>
          <w:color w:val="888888"/>
          <w:sz w:val="15"/>
          <w:szCs w:val="15"/>
        </w:rPr>
        <w:t xml:space="preserve">  —  Tabled</w:t>
      </w:r>
      <w:r>
        <w:rPr>
          <w:color w:val="555555"/>
          <w:sz w:val="17"/>
          <w:szCs w:val="17"/>
        </w:rPr>
        <w:br/>
        <w:t xml:space="preserve">Amendments spanning labor relations, civil law, currency regulation, and securities markets.</w:t>
      </w:r>
    </w:p>
    <w:p>
      <w:pPr>
        <w:spacing w:after="100"/>
        <w:ind w:left="431"/>
      </w:pPr>
      <w:r>
        <w:rPr>
          <w:b/>
          <w:bCs/>
          <w:sz w:val="19"/>
          <w:szCs w:val="19"/>
        </w:rPr>
        <w:t xml:space="preserve">6. </w:t>
      </w:r>
      <w:r>
        <w:rPr>
          <w:b/>
          <w:bCs/>
          <w:sz w:val="19"/>
          <w:szCs w:val="19"/>
        </w:rPr>
        <w:t xml:space="preserve">Omnibus Code Amendment III — Tax, Migration, Social Insurance &amp; Procurement</w:t>
      </w:r>
      <w:r>
        <w:rPr>
          <w:rFonts w:ascii="Arial" w:cs="Arial" w:eastAsia="Arial" w:hAnsi="Arial"/>
          <w:i/>
          <w:iCs/>
          <w:color w:val="888888"/>
          <w:sz w:val="15"/>
          <w:szCs w:val="15"/>
        </w:rPr>
        <w:t xml:space="preserve">  —  Tabled</w:t>
      </w:r>
      <w:r>
        <w:rPr>
          <w:color w:val="555555"/>
          <w:sz w:val="17"/>
          <w:szCs w:val="17"/>
        </w:rPr>
        <w:br/>
        <w:t xml:space="preserve">Amendments to the Tax Code, Migration Code, social insurance rules, customs tariff, and state procurement law.</w:t>
      </w:r>
    </w:p>
    <w:p>
      <w:pPr>
        <w:spacing w:after="100"/>
        <w:ind w:left="431"/>
      </w:pPr>
      <w:r>
        <w:rPr>
          <w:b/>
          <w:bCs/>
          <w:sz w:val="19"/>
          <w:szCs w:val="19"/>
        </w:rPr>
        <w:t xml:space="preserve">7. </w:t>
      </w:r>
      <w:r>
        <w:rPr>
          <w:b/>
          <w:bCs/>
          <w:sz w:val="19"/>
          <w:szCs w:val="19"/>
        </w:rPr>
        <w:t xml:space="preserve">Law "On Information, Informatization and Information Protection" — Amendment</w:t>
      </w:r>
      <w:r>
        <w:rPr>
          <w:rFonts w:ascii="Arial" w:cs="Arial" w:eastAsia="Arial" w:hAnsi="Arial"/>
          <w:i/>
          <w:iCs/>
          <w:color w:val="888888"/>
          <w:sz w:val="15"/>
          <w:szCs w:val="15"/>
        </w:rPr>
        <w:t xml:space="preserve">  —  Tabled</w:t>
      </w:r>
      <w:r>
        <w:rPr>
          <w:color w:val="555555"/>
          <w:sz w:val="17"/>
          <w:szCs w:val="17"/>
        </w:rPr>
        <w:br/>
        <w:t xml:space="preserve">Changes to the core information-security and data-protection statute.</w:t>
      </w:r>
    </w:p>
    <w:p>
      <w:pPr>
        <w:spacing w:after="100"/>
        <w:ind w:left="431"/>
      </w:pPr>
      <w:r>
        <w:rPr>
          <w:b/>
          <w:bCs/>
          <w:sz w:val="19"/>
          <w:szCs w:val="19"/>
        </w:rPr>
        <w:t xml:space="preserve">8. </w:t>
      </w:r>
      <w:r>
        <w:rPr>
          <w:b/>
          <w:bCs/>
          <w:sz w:val="19"/>
          <w:szCs w:val="19"/>
        </w:rPr>
        <w:t xml:space="preserve">Law "On Seed Production" (Toxumçuluq)</w:t>
      </w:r>
      <w:r>
        <w:rPr>
          <w:rFonts w:ascii="Arial" w:cs="Arial" w:eastAsia="Arial" w:hAnsi="Arial"/>
          <w:i/>
          <w:iCs/>
          <w:color w:val="888888"/>
          <w:sz w:val="15"/>
          <w:szCs w:val="15"/>
        </w:rPr>
        <w:t xml:space="preserve">  —  Tabled</w:t>
      </w:r>
      <w:r>
        <w:rPr>
          <w:color w:val="555555"/>
          <w:sz w:val="17"/>
          <w:szCs w:val="17"/>
        </w:rPr>
        <w:br/>
        <w:t xml:space="preserve">Amendment to agricultural seed-selection and certification legislation.</w:t>
      </w:r>
    </w:p>
    <w:p>
      <w:pPr>
        <w:spacing w:after="100"/>
        <w:ind w:left="431"/>
      </w:pPr>
      <w:r>
        <w:rPr>
          <w:b/>
          <w:bCs/>
          <w:sz w:val="19"/>
          <w:szCs w:val="19"/>
        </w:rPr>
        <w:t xml:space="preserve">9. </w:t>
      </w:r>
      <w:r>
        <w:rPr>
          <w:b/>
          <w:bCs/>
          <w:sz w:val="19"/>
          <w:szCs w:val="19"/>
        </w:rPr>
        <w:t xml:space="preserve">Seed Selection, State Fees &amp; Licensing — Related Amendment</w:t>
      </w:r>
      <w:r>
        <w:rPr>
          <w:rFonts w:ascii="Arial" w:cs="Arial" w:eastAsia="Arial" w:hAnsi="Arial"/>
          <w:i/>
          <w:iCs/>
          <w:color w:val="888888"/>
          <w:sz w:val="15"/>
          <w:szCs w:val="15"/>
        </w:rPr>
        <w:t xml:space="preserve">  —  Tabled</w:t>
      </w:r>
      <w:r>
        <w:rPr>
          <w:color w:val="555555"/>
          <w:sz w:val="17"/>
          <w:szCs w:val="17"/>
        </w:rPr>
        <w:br/>
        <w:t xml:space="preserve">Companion amendment aligning state fee and licensing rules with the seed-production changes above.</w:t>
      </w:r>
    </w:p>
    <w:p>
      <w:pPr>
        <w:spacing w:after="100"/>
        <w:ind w:left="431"/>
      </w:pPr>
      <w:r>
        <w:rPr>
          <w:b/>
          <w:bCs/>
          <w:sz w:val="19"/>
          <w:szCs w:val="19"/>
        </w:rPr>
        <w:t xml:space="preserve">10. </w:t>
      </w:r>
      <w:r>
        <w:rPr>
          <w:b/>
          <w:bCs/>
          <w:sz w:val="19"/>
          <w:szCs w:val="19"/>
        </w:rPr>
        <w:t xml:space="preserve">Law "On Fisheries" (Balıqçılıq)</w:t>
      </w:r>
      <w:r>
        <w:rPr>
          <w:rFonts w:ascii="Arial" w:cs="Arial" w:eastAsia="Arial" w:hAnsi="Arial"/>
          <w:i/>
          <w:iCs/>
          <w:color w:val="888888"/>
          <w:sz w:val="15"/>
          <w:szCs w:val="15"/>
        </w:rPr>
        <w:t xml:space="preserve">  —  Tabled</w:t>
      </w:r>
      <w:r>
        <w:rPr>
          <w:color w:val="555555"/>
          <w:sz w:val="17"/>
          <w:szCs w:val="17"/>
        </w:rPr>
        <w:br/>
        <w:t xml:space="preserve">Amendment to fisheries-sector regulation.</w:t>
      </w:r>
    </w:p>
    <w:p>
      <w:pPr>
        <w:spacing w:after="100"/>
        <w:ind w:left="431"/>
      </w:pPr>
      <w:r>
        <w:rPr>
          <w:b/>
          <w:bCs/>
          <w:sz w:val="19"/>
          <w:szCs w:val="19"/>
        </w:rPr>
        <w:t xml:space="preserve">11. </w:t>
      </w:r>
      <w:r>
        <w:rPr>
          <w:b/>
          <w:bCs/>
          <w:sz w:val="19"/>
          <w:szCs w:val="19"/>
        </w:rPr>
        <w:t xml:space="preserve">State Fees &amp; Licensing — Fisheries-Related Amendment</w:t>
      </w:r>
      <w:r>
        <w:rPr>
          <w:rFonts w:ascii="Arial" w:cs="Arial" w:eastAsia="Arial" w:hAnsi="Arial"/>
          <w:i/>
          <w:iCs/>
          <w:color w:val="888888"/>
          <w:sz w:val="15"/>
          <w:szCs w:val="15"/>
        </w:rPr>
        <w:t xml:space="preserve">  —  Tabled</w:t>
      </w:r>
      <w:r>
        <w:rPr>
          <w:color w:val="555555"/>
          <w:sz w:val="17"/>
          <w:szCs w:val="17"/>
        </w:rPr>
        <w:br/>
        <w:t xml:space="preserve">Companion state-fee and licensing amendment tied to the fisheries changes.</w:t>
      </w:r>
    </w:p>
    <w:p>
      <w:pPr>
        <w:spacing w:after="100"/>
        <w:ind w:left="431"/>
      </w:pPr>
      <w:r>
        <w:rPr>
          <w:b/>
          <w:bCs/>
          <w:sz w:val="19"/>
          <w:szCs w:val="19"/>
        </w:rPr>
        <w:t xml:space="preserve">12. </w:t>
      </w:r>
      <w:r>
        <w:rPr>
          <w:b/>
          <w:bCs/>
          <w:sz w:val="19"/>
          <w:szCs w:val="19"/>
        </w:rPr>
        <w:t xml:space="preserve">Land Code, Civil Code &amp; Property Assessment — Amendment I</w:t>
      </w:r>
      <w:r>
        <w:rPr>
          <w:rFonts w:ascii="Arial" w:cs="Arial" w:eastAsia="Arial" w:hAnsi="Arial"/>
          <w:i/>
          <w:iCs/>
          <w:color w:val="888888"/>
          <w:sz w:val="15"/>
          <w:szCs w:val="15"/>
        </w:rPr>
        <w:t xml:space="preserve">  —  Tabled</w:t>
      </w:r>
      <w:r>
        <w:rPr>
          <w:color w:val="555555"/>
          <w:sz w:val="17"/>
          <w:szCs w:val="17"/>
        </w:rPr>
        <w:br/>
        <w:t xml:space="preserve">First of two land-related packages amending the Land Code, Civil Code, and property valuation rules.</w:t>
      </w:r>
    </w:p>
    <w:p>
      <w:pPr>
        <w:spacing w:after="100"/>
        <w:ind w:left="431"/>
      </w:pPr>
      <w:r>
        <w:rPr>
          <w:b/>
          <w:bCs/>
          <w:sz w:val="19"/>
          <w:szCs w:val="19"/>
        </w:rPr>
        <w:t xml:space="preserve">13. </w:t>
      </w:r>
      <w:r>
        <w:rPr>
          <w:b/>
          <w:bCs/>
          <w:sz w:val="19"/>
          <w:szCs w:val="19"/>
        </w:rPr>
        <w:t xml:space="preserve">Land Code &amp; Civil Code — Amendment II</w:t>
      </w:r>
      <w:r>
        <w:rPr>
          <w:rFonts w:ascii="Arial" w:cs="Arial" w:eastAsia="Arial" w:hAnsi="Arial"/>
          <w:i/>
          <w:iCs/>
          <w:color w:val="888888"/>
          <w:sz w:val="15"/>
          <w:szCs w:val="15"/>
        </w:rPr>
        <w:t xml:space="preserve">  —  Tabled</w:t>
      </w:r>
      <w:r>
        <w:rPr>
          <w:color w:val="555555"/>
          <w:sz w:val="17"/>
          <w:szCs w:val="17"/>
        </w:rPr>
        <w:br/>
        <w:t xml:space="preserve">Second, related land-reform package.</w:t>
      </w:r>
    </w:p>
    <w:p>
      <w:pPr>
        <w:spacing w:after="100"/>
        <w:ind w:left="431"/>
      </w:pPr>
      <w:r>
        <w:rPr>
          <w:b/>
          <w:bCs/>
          <w:sz w:val="19"/>
          <w:szCs w:val="19"/>
        </w:rPr>
        <w:t xml:space="preserve">14. </w:t>
      </w:r>
      <w:r>
        <w:rPr>
          <w:b/>
          <w:bCs/>
          <w:sz w:val="19"/>
          <w:szCs w:val="19"/>
        </w:rPr>
        <w:t xml:space="preserve">Code of Administrative Offenses — Amendment</w:t>
      </w:r>
      <w:r>
        <w:rPr>
          <w:rFonts w:ascii="Arial" w:cs="Arial" w:eastAsia="Arial" w:hAnsi="Arial"/>
          <w:i/>
          <w:iCs/>
          <w:color w:val="888888"/>
          <w:sz w:val="15"/>
          <w:szCs w:val="15"/>
        </w:rPr>
        <w:t xml:space="preserve">  —  Tabled</w:t>
      </w:r>
      <w:r>
        <w:rPr>
          <w:color w:val="555555"/>
          <w:sz w:val="17"/>
          <w:szCs w:val="17"/>
        </w:rPr>
        <w:br/>
        <w:t xml:space="preserve">Standalone amendment adjusting sanctions or procedures under the Administrative Offenses Code.</w:t>
      </w:r>
    </w:p>
    <w:p>
      <w:pPr>
        <w:spacing w:after="100"/>
        <w:ind w:left="431"/>
      </w:pPr>
      <w:r>
        <w:rPr>
          <w:b/>
          <w:bCs/>
          <w:sz w:val="19"/>
          <w:szCs w:val="19"/>
        </w:rPr>
        <w:t xml:space="preserve">15. </w:t>
      </w:r>
      <w:r>
        <w:rPr>
          <w:b/>
          <w:bCs/>
          <w:sz w:val="19"/>
          <w:szCs w:val="19"/>
        </w:rPr>
        <w:t xml:space="preserve">Occupational (Workplace) Insurance — Amendment</w:t>
      </w:r>
      <w:r>
        <w:rPr>
          <w:rFonts w:ascii="Arial" w:cs="Arial" w:eastAsia="Arial" w:hAnsi="Arial"/>
          <w:i/>
          <w:iCs/>
          <w:color w:val="888888"/>
          <w:sz w:val="15"/>
          <w:szCs w:val="15"/>
        </w:rPr>
        <w:t xml:space="preserve">  —  Tabled</w:t>
      </w:r>
      <w:r>
        <w:rPr>
          <w:color w:val="555555"/>
          <w:sz w:val="17"/>
          <w:szCs w:val="17"/>
        </w:rPr>
        <w:br/>
        <w:t xml:space="preserve">Changes to mandatory occupational insurance obligations for employers.</w:t>
      </w:r>
    </w:p>
    <w:p>
      <w:pPr>
        <w:spacing w:after="100"/>
        <w:ind w:left="431"/>
      </w:pPr>
      <w:r>
        <w:rPr>
          <w:b/>
          <w:bCs/>
          <w:sz w:val="19"/>
          <w:szCs w:val="19"/>
        </w:rPr>
        <w:t xml:space="preserve">16. </w:t>
      </w:r>
      <w:r>
        <w:rPr>
          <w:b/>
          <w:bCs/>
          <w:sz w:val="19"/>
          <w:szCs w:val="19"/>
        </w:rPr>
        <w:t xml:space="preserve">Medical Insurance &amp; Disability Rights — Amendment</w:t>
      </w:r>
      <w:r>
        <w:rPr>
          <w:rFonts w:ascii="Arial" w:cs="Arial" w:eastAsia="Arial" w:hAnsi="Arial"/>
          <w:i/>
          <w:iCs/>
          <w:color w:val="888888"/>
          <w:sz w:val="15"/>
          <w:szCs w:val="15"/>
        </w:rPr>
        <w:t xml:space="preserve">  —  Tabled</w:t>
      </w:r>
      <w:r>
        <w:rPr>
          <w:color w:val="555555"/>
          <w:sz w:val="17"/>
          <w:szCs w:val="17"/>
        </w:rPr>
        <w:br/>
        <w:t xml:space="preserve">Amendments touching mandatory medical insurance and the rights of persons with disabilities.</w:t>
      </w:r>
    </w:p>
    <w:p>
      <w:pPr>
        <w:spacing w:after="100"/>
        <w:ind w:left="431"/>
      </w:pPr>
      <w:r>
        <w:rPr>
          <w:b/>
          <w:bCs/>
          <w:sz w:val="19"/>
          <w:szCs w:val="19"/>
        </w:rPr>
        <w:t xml:space="preserve">17. </w:t>
      </w:r>
      <w:r>
        <w:rPr>
          <w:b/>
          <w:bCs/>
          <w:sz w:val="19"/>
          <w:szCs w:val="19"/>
        </w:rPr>
        <w:t xml:space="preserve">Migration Code &amp; Registration — Amendment</w:t>
      </w:r>
      <w:r>
        <w:rPr>
          <w:rFonts w:ascii="Arial" w:cs="Arial" w:eastAsia="Arial" w:hAnsi="Arial"/>
          <w:i/>
          <w:iCs/>
          <w:color w:val="888888"/>
          <w:sz w:val="15"/>
          <w:szCs w:val="15"/>
        </w:rPr>
        <w:t xml:space="preserve">  —  Tabled</w:t>
      </w:r>
      <w:r>
        <w:rPr>
          <w:color w:val="555555"/>
          <w:sz w:val="17"/>
          <w:szCs w:val="17"/>
        </w:rPr>
        <w:br/>
        <w:t xml:space="preserve">Changes to migration status and residence-registration procedures.</w:t>
      </w:r>
    </w:p>
    <w:p>
      <w:pPr>
        <w:spacing w:after="100"/>
        <w:ind w:left="431"/>
      </w:pPr>
      <w:r>
        <w:rPr>
          <w:b/>
          <w:bCs/>
          <w:sz w:val="19"/>
          <w:szCs w:val="19"/>
        </w:rPr>
        <w:t xml:space="preserve">18. </w:t>
      </w:r>
      <w:r>
        <w:rPr>
          <w:b/>
          <w:bCs/>
          <w:sz w:val="19"/>
          <w:szCs w:val="19"/>
        </w:rPr>
        <w:t xml:space="preserve">Energy Efficiency Law — Amendment</w:t>
      </w:r>
      <w:r>
        <w:rPr>
          <w:rFonts w:ascii="Arial" w:cs="Arial" w:eastAsia="Arial" w:hAnsi="Arial"/>
          <w:i/>
          <w:iCs/>
          <w:color w:val="888888"/>
          <w:sz w:val="15"/>
          <w:szCs w:val="15"/>
        </w:rPr>
        <w:t xml:space="preserve">  —  Tabled</w:t>
      </w:r>
      <w:r>
        <w:rPr>
          <w:color w:val="555555"/>
          <w:sz w:val="17"/>
          <w:szCs w:val="17"/>
        </w:rPr>
        <w:br/>
        <w:t xml:space="preserve">Further amendment to the energy-efficiency statute, following recent Cabinet activity in the same area (see Regulatory Spotlight).</w:t>
      </w:r>
    </w:p>
    <w:p>
      <w:pPr>
        <w:spacing w:after="100"/>
        <w:ind w:left="431"/>
      </w:pPr>
      <w:r>
        <w:rPr>
          <w:b/>
          <w:bCs/>
          <w:sz w:val="19"/>
          <w:szCs w:val="19"/>
        </w:rPr>
        <w:t xml:space="preserve">19. </w:t>
      </w:r>
      <w:r>
        <w:rPr>
          <w:b/>
          <w:bCs/>
          <w:sz w:val="19"/>
          <w:szCs w:val="19"/>
        </w:rPr>
        <w:t xml:space="preserve">Law "On Aviation" — Amendment</w:t>
      </w:r>
      <w:r>
        <w:rPr>
          <w:rFonts w:ascii="Arial" w:cs="Arial" w:eastAsia="Arial" w:hAnsi="Arial"/>
          <w:i/>
          <w:iCs/>
          <w:color w:val="888888"/>
          <w:sz w:val="15"/>
          <w:szCs w:val="15"/>
        </w:rPr>
        <w:t xml:space="preserve">  —  Tabled</w:t>
      </w:r>
      <w:r>
        <w:rPr>
          <w:color w:val="555555"/>
          <w:sz w:val="17"/>
          <w:szCs w:val="17"/>
        </w:rPr>
        <w:br/>
        <w:t xml:space="preserve">Amendment to the civil aviation statute.</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on Enacted Legislation: </w:t>
            </w:r>
            <w:r>
              <w:rPr>
                <w:rFonts w:ascii="Arial" w:cs="Arial" w:eastAsia="Arial" w:hAnsi="Arial"/>
                <w:color w:val="555555"/>
                <w:sz w:val="17"/>
                <w:szCs w:val="17"/>
              </w:rPr>
              <w:t xml:space="preserve">The most recent enacted law in the register is Law No. 441-VIIQD (10 July 2026) amending the Law "On Customs Tariff." No decrees (qərarlar, cat. 138) or committee reports (cat. 89) were logged for 11–18 July; the most recent entries in both registers date to 26 May 2026 — treat as a lag in publication rather than legislative inactivity, and verify directly on meclis.gov.az before relying on this gap.</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NAZIRLƏR KABINETI   </w:t>
      </w:r>
      <w:r>
        <w:rPr>
          <w:b/>
          <w:bCs/>
          <w:sz w:val="30"/>
          <w:szCs w:val="30"/>
        </w:rPr>
        <w:br/>
        <w:t xml:space="preserve">Cabinet of Ministers</w:t>
      </w:r>
      <w:r>
        <w:rPr>
          <w:rFonts w:ascii="Arial" w:cs="Arial" w:eastAsia="Arial" w:hAnsi="Arial"/>
          <w:i/>
          <w:iCs/>
          <w:color w:val="888888"/>
          <w:sz w:val="16"/>
          <w:szCs w:val="16"/>
        </w:rPr>
        <w:t xml:space="preserve">	Decisions &amp; Orders — 14–17 July 2026</w:t>
      </w:r>
    </w:p>
    <w:p>
      <w:pPr>
        <w:spacing w:after="160"/>
      </w:pPr>
      <w:r>
        <w:rPr>
          <w:rFonts w:ascii="Arial" w:cs="Arial" w:eastAsia="Arial" w:hAnsi="Arial"/>
          <w:i w:val="false"/>
          <w:iCs w:val="false"/>
          <w:color w:val="555555"/>
          <w:sz w:val="18"/>
          <w:szCs w:val="18"/>
        </w:rPr>
        <w:t xml:space="preserve">The Cabinet issued three Decisions (Nos. 216–218) on 17 July, plus a run of implementation Orders between 14 and 16 July. The 17 July batch is notably diverse — education financing, professional certification, and customs tariff nomenclature in a single day.</w:t>
      </w:r>
    </w:p>
    <w:p>
      <w:pPr>
        <w:pBdr>
          <w:bottom w:val="single" w:color="CCCCCC" w:sz="4" w:space="2"/>
        </w:pBdr>
        <w:spacing w:after="80"/>
      </w:pPr>
      <w:r>
        <w:rPr>
          <w:rFonts w:ascii="Arial" w:cs="Arial" w:eastAsia="Arial" w:hAnsi="Arial"/>
          <w:b/>
          <w:bCs/>
          <w:color w:val="555555"/>
          <w:spacing w:val="16"/>
          <w:sz w:val="15"/>
          <w:szCs w:val="15"/>
        </w:rPr>
        <w:t xml:space="preserve">DECISIONS (QƏRARLAR)</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216</w:t>
      </w:r>
      <w:r>
        <w:rPr>
          <w:rFonts w:ascii="Arial" w:cs="Arial" w:eastAsia="Arial" w:hAnsi="Arial"/>
          <w:color w:val="888888"/>
          <w:sz w:val="15"/>
          <w:szCs w:val="15"/>
        </w:rPr>
        <w:t xml:space="preserve">	17 Jul 2026</w:t>
      </w:r>
      <w:r>
        <w:rPr>
          <w:b/>
          <w:bCs/>
          <w:sz w:val="20"/>
          <w:szCs w:val="20"/>
        </w:rPr>
        <w:br/>
        <w:t xml:space="preserve">Customs Tariff Nomenclature — Amendment</w:t>
      </w:r>
      <w:r>
        <w:rPr>
          <w:color w:val="333333"/>
          <w:sz w:val="18"/>
          <w:szCs w:val="18"/>
        </w:rPr>
        <w:br/>
        <w:t xml:space="preserve">Modifies the customs tariff nomenclature and associated import/export duty rates for foreign economic activity.</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217</w:t>
      </w:r>
      <w:r>
        <w:rPr>
          <w:rFonts w:ascii="Arial" w:cs="Arial" w:eastAsia="Arial" w:hAnsi="Arial"/>
          <w:color w:val="888888"/>
          <w:sz w:val="15"/>
          <w:szCs w:val="15"/>
        </w:rPr>
        <w:t xml:space="preserve">	17 Jul 2026</w:t>
      </w:r>
      <w:r>
        <w:rPr>
          <w:b/>
          <w:bCs/>
          <w:sz w:val="20"/>
          <w:szCs w:val="20"/>
        </w:rPr>
        <w:br/>
        <w:t xml:space="preserve">Professional Accountant Certification — Amendment</w:t>
      </w:r>
      <w:r>
        <w:rPr>
          <w:color w:val="333333"/>
          <w:sz w:val="18"/>
          <w:szCs w:val="18"/>
        </w:rPr>
        <w:br/>
        <w:t xml:space="preserve">Amends the 2019 regulations governing professional accountant certification and the related state registry procedures.</w:t>
      </w:r>
    </w:p>
    <w:p>
      <w:pPr>
        <w:pBdr>
          <w:bottom w:val="dotted" w:color="D0D0D0" w:sz="2" w:space="4"/>
        </w:pBdr>
        <w:tabs>
          <w:tab w:val="right" w:pos="4624"/>
        </w:tabs>
        <w:spacing w:after="160"/>
      </w:pPr>
      <w:r>
        <w:rPr>
          <w:rFonts w:ascii="Arial" w:cs="Arial" w:eastAsia="Arial" w:hAnsi="Arial"/>
          <w:b/>
          <w:bCs/>
          <w:color w:val="FFFFFF"/>
          <w:sz w:val="13"/>
          <w:szCs w:val="13"/>
          <w:shd w:fill="2C3E50" w:val="clear"/>
        </w:rPr>
        <w:t xml:space="preserve">DECISION  </w:t>
      </w:r>
      <w:r>
        <w:rPr>
          <w:rFonts w:ascii="Arial" w:cs="Arial" w:eastAsia="Arial" w:hAnsi="Arial"/>
          <w:color w:val="777777"/>
          <w:sz w:val="15"/>
          <w:szCs w:val="15"/>
        </w:rPr>
        <w:t xml:space="preserve">  No. 218</w:t>
      </w:r>
      <w:r>
        <w:rPr>
          <w:rFonts w:ascii="Arial" w:cs="Arial" w:eastAsia="Arial" w:hAnsi="Arial"/>
          <w:color w:val="888888"/>
          <w:sz w:val="15"/>
          <w:szCs w:val="15"/>
        </w:rPr>
        <w:t xml:space="preserve">	17 Jul 2026</w:t>
      </w:r>
      <w:r>
        <w:rPr>
          <w:b/>
          <w:bCs/>
          <w:sz w:val="20"/>
          <w:szCs w:val="20"/>
        </w:rPr>
        <w:br/>
        <w:t xml:space="preserve">Preschool Education Co-Financing Model — Approval</w:t>
      </w:r>
      <w:r>
        <w:rPr>
          <w:color w:val="333333"/>
          <w:sz w:val="18"/>
          <w:szCs w:val="18"/>
        </w:rPr>
        <w:br/>
        <w:t xml:space="preserve">Approves the rules for a new preschool-education financing model based on parent–state–private-sector cooperation.</w:t>
      </w:r>
    </w:p>
    <w:p>
      <w:pPr>
        <w:pBdr>
          <w:bottom w:val="single" w:color="CCCCCC" w:sz="4" w:space="2"/>
        </w:pBdr>
        <w:spacing w:after="80" w:before="160"/>
      </w:pPr>
      <w:r>
        <w:rPr>
          <w:rFonts w:ascii="Arial" w:cs="Arial" w:eastAsia="Arial" w:hAnsi="Arial"/>
          <w:b/>
          <w:bCs/>
          <w:color w:val="555555"/>
          <w:spacing w:val="16"/>
          <w:sz w:val="15"/>
          <w:szCs w:val="15"/>
        </w:rPr>
        <w:t xml:space="preserve">ORDERS (SƏRƏNCAMLAR)</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 495s</w:t>
      </w:r>
      <w:r>
        <w:rPr>
          <w:rFonts w:ascii="Arial" w:cs="Arial" w:eastAsia="Arial" w:hAnsi="Arial"/>
          <w:color w:val="888888"/>
          <w:sz w:val="15"/>
          <w:szCs w:val="15"/>
        </w:rPr>
        <w:t xml:space="preserve">	14 Jul 2026</w:t>
      </w:r>
      <w:r>
        <w:rPr>
          <w:b/>
          <w:bCs/>
          <w:sz w:val="20"/>
          <w:szCs w:val="20"/>
        </w:rPr>
        <w:br/>
        <w:t xml:space="preserve">Implementation of June 2026 Presidential Decree on Administrative Code Amendments</w:t>
      </w:r>
      <w:r>
        <w:rPr>
          <w:color w:val="333333"/>
          <w:sz w:val="18"/>
          <w:szCs w:val="18"/>
        </w:rPr>
        <w:br/>
        <w:t xml:space="preserve">Operationalises an earlier presidential decree amending the Administrative Code.</w:t>
      </w:r>
    </w:p>
    <w:p>
      <w:pPr>
        <w:pBdr>
          <w:bottom w:val="dotted" w:color="D0D0D0" w:sz="2" w:space="4"/>
        </w:pBdr>
        <w:tabs>
          <w:tab w:val="right" w:pos="4624"/>
        </w:tabs>
        <w:spacing w:after="160"/>
      </w:pPr>
      <w:r>
        <w:rPr>
          <w:rFonts w:ascii="Arial" w:cs="Arial" w:eastAsia="Arial" w:hAnsi="Arial"/>
          <w:b/>
          <w:bCs/>
          <w:color w:val="FFFFFF"/>
          <w:sz w:val="13"/>
          <w:szCs w:val="13"/>
          <w:shd w:fill="4A4A4A" w:val="clear"/>
        </w:rPr>
        <w:t xml:space="preserve">ORDER  </w:t>
      </w:r>
      <w:r>
        <w:rPr>
          <w:rFonts w:ascii="Arial" w:cs="Arial" w:eastAsia="Arial" w:hAnsi="Arial"/>
          <w:color w:val="777777"/>
          <w:sz w:val="15"/>
          <w:szCs w:val="15"/>
        </w:rPr>
        <w:t xml:space="preserve">  Nos. 507s–510s</w:t>
      </w:r>
      <w:r>
        <w:rPr>
          <w:rFonts w:ascii="Arial" w:cs="Arial" w:eastAsia="Arial" w:hAnsi="Arial"/>
          <w:color w:val="888888"/>
          <w:sz w:val="15"/>
          <w:szCs w:val="15"/>
        </w:rPr>
        <w:t xml:space="preserve">	15–16 Jul 2026</w:t>
      </w:r>
      <w:r>
        <w:rPr>
          <w:b/>
          <w:bCs/>
          <w:sz w:val="20"/>
          <w:szCs w:val="20"/>
        </w:rPr>
        <w:br/>
        <w:t xml:space="preserve">Implementation Orders — State Property, Census &amp; Cultural Monuments</w:t>
      </w:r>
      <w:r>
        <w:rPr>
          <w:color w:val="333333"/>
          <w:sz w:val="18"/>
          <w:szCs w:val="18"/>
        </w:rPr>
        <w:br/>
        <w:t xml:space="preserve">A four-order cluster implementing prior presidential decrees on state property reorganisation, planning for the population census, and cultural-monument regulation.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w:t>
            </w:r>
            <w:r>
              <w:rPr>
                <w:rFonts w:ascii="Arial" w:cs="Arial" w:eastAsia="Arial" w:hAnsi="Arial"/>
                <w:color w:val="555555"/>
                <w:sz w:val="17"/>
                <w:szCs w:val="17"/>
              </w:rPr>
              <w:t xml:space="preserve">The order-number sequence jumps from No. 495s (14 Jul) to Nos. 507s–510s (15–16 Jul); intervening numbers 496s–506s were not visible on the source listing at compilation time and may cover matters outside public disclosure or simply not yet be indexed. Verify directly with nk.gov.az if a specific order number is relevant to client work.</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ADMINISTRATION OF THE PRESIDENT   </w:t>
      </w:r>
      <w:r>
        <w:rPr>
          <w:b/>
          <w:bCs/>
          <w:sz w:val="30"/>
          <w:szCs w:val="30"/>
        </w:rPr>
        <w:br/>
        <w:t xml:space="preserve">Presidential Office</w:t>
      </w:r>
      <w:r>
        <w:rPr>
          <w:rFonts w:ascii="Arial" w:cs="Arial" w:eastAsia="Arial" w:hAnsi="Arial"/>
          <w:i/>
          <w:iCs/>
          <w:color w:val="888888"/>
          <w:sz w:val="16"/>
          <w:szCs w:val="16"/>
        </w:rPr>
        <w:t xml:space="preserve">	Diplomatic Correspondence — 11–15 July 2026</w:t>
      </w:r>
    </w:p>
    <w:p>
      <w:pPr>
        <w:spacing w:after="160"/>
      </w:pPr>
      <w:r>
        <w:rPr>
          <w:rFonts w:ascii="Arial" w:cs="Arial" w:eastAsia="Arial" w:hAnsi="Arial"/>
          <w:i w:val="false"/>
          <w:iCs w:val="false"/>
          <w:color w:val="555555"/>
          <w:sz w:val="18"/>
          <w:szCs w:val="18"/>
        </w:rPr>
        <w:t xml:space="preserve">No presidential decrees (fərmanlar) or orders (sərəncamlar) appear in the publicly accessible document register for the reporting period. The public record consists of diplomatic letters and one joint press statement, most notably around the state visit involving Slovakia and reciprocal holiday greetings.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3200"/>
        <w:gridCol w:w="3400"/>
      </w:tblGrid>
      <w:tr>
        <w:trPr>
          <w:tblHeader/>
        </w:trPr>
        <w:tc>
          <w:tcPr>
            <w:tcW w:type="dxa" w:w="1000"/>
            <w:shd w:fill="1A1A1A" w:val="clear"/>
            <w:tcMar>
              <w:top w:type="dxa" w:w="60"/>
              <w:left w:type="dxa" w:w="100"/>
              <w:bottom w:type="dxa" w:w="60"/>
              <w:right w:type="dxa" w:w="100"/>
            </w:tcMar>
          </w:tcPr>
          <w:p>
            <w:r>
              <w:rPr>
                <w:rFonts w:ascii="Arial" w:cs="Arial" w:eastAsia="Arial" w:hAnsi="Arial"/>
                <w:b/>
                <w:bCs/>
                <w:color w:val="FFFFFF"/>
                <w:sz w:val="13"/>
                <w:szCs w:val="13"/>
              </w:rPr>
              <w:t xml:space="preserve">DATE</w:t>
            </w:r>
          </w:p>
        </w:tc>
        <w:tc>
          <w:tcPr>
            <w:tcW w:type="dxa" w:w="1400"/>
            <w:shd w:fill="1A1A1A" w:val="clear"/>
            <w:tcMar>
              <w:top w:type="dxa" w:w="60"/>
              <w:left w:type="dxa" w:w="100"/>
              <w:bottom w:type="dxa" w:w="60"/>
              <w:right w:type="dxa" w:w="100"/>
            </w:tcMar>
          </w:tcPr>
          <w:p>
            <w:r>
              <w:rPr>
                <w:rFonts w:ascii="Arial" w:cs="Arial" w:eastAsia="Arial" w:hAnsi="Arial"/>
                <w:b/>
                <w:bCs/>
                <w:color w:val="FFFFFF"/>
                <w:sz w:val="13"/>
                <w:szCs w:val="13"/>
              </w:rPr>
              <w:t xml:space="preserve">TYPE</w:t>
            </w:r>
          </w:p>
        </w:tc>
        <w:tc>
          <w:tcPr>
            <w:tcW w:type="dxa" w:w="2400"/>
            <w:shd w:fill="1A1A1A" w:val="clear"/>
            <w:tcMar>
              <w:top w:type="dxa" w:w="60"/>
              <w:left w:type="dxa" w:w="100"/>
              <w:bottom w:type="dxa" w:w="60"/>
              <w:right w:type="dxa" w:w="100"/>
            </w:tcMar>
          </w:tcPr>
          <w:p>
            <w:r>
              <w:rPr>
                <w:rFonts w:ascii="Arial" w:cs="Arial" w:eastAsia="Arial" w:hAnsi="Arial"/>
                <w:b/>
                <w:bCs/>
                <w:color w:val="FFFFFF"/>
                <w:sz w:val="13"/>
                <w:szCs w:val="13"/>
              </w:rPr>
              <w:t xml:space="preserve">COUNTERPART</w:t>
            </w:r>
          </w:p>
        </w:tc>
        <w:tc>
          <w:tcPr>
            <w:tcW w:type="dxa" w:w="3200"/>
            <w:shd w:fill="1A1A1A" w:val="clear"/>
            <w:tcMar>
              <w:top w:type="dxa" w:w="60"/>
              <w:left w:type="dxa" w:w="100"/>
              <w:bottom w:type="dxa" w:w="60"/>
              <w:right w:type="dxa" w:w="100"/>
            </w:tcMar>
          </w:tcPr>
          <w:p>
            <w:r>
              <w:rPr>
                <w:rFonts w:ascii="Arial" w:cs="Arial" w:eastAsia="Arial" w:hAnsi="Arial"/>
                <w:b/>
                <w:bCs/>
                <w:color w:val="FFFFFF"/>
                <w:sz w:val="13"/>
                <w:szCs w:val="13"/>
              </w:rPr>
              <w:t xml:space="preserve">COUNTRY / TITLE</w:t>
            </w:r>
          </w:p>
        </w:tc>
        <w:tc>
          <w:tcPr>
            <w:tcW w:type="dxa" w:w="3400"/>
            <w:shd w:fill="1A1A1A" w:val="clear"/>
            <w:tcMar>
              <w:top w:type="dxa" w:w="60"/>
              <w:left w:type="dxa" w:w="100"/>
              <w:bottom w:type="dxa" w:w="60"/>
              <w:right w:type="dxa" w:w="100"/>
            </w:tcMar>
          </w:tcPr>
          <w:p>
            <w:r>
              <w:rPr>
                <w:rFonts w:ascii="Arial" w:cs="Arial" w:eastAsia="Arial" w:hAnsi="Arial"/>
                <w:b/>
                <w:bCs/>
                <w:color w:val="FFFFFF"/>
                <w:sz w:val="13"/>
                <w:szCs w:val="13"/>
              </w:rPr>
              <w:t xml:space="preserve">CONTEXT</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15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Recep Tayyip Erdoğan</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President of Türkiye</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Message honouring victims of the 2016 coup attempt</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14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Statement</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 (joint)</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Presidents of Azerbaijan &amp; Slovakia</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Joint press statement on bilateral relations and a visit to Garabagh</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14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Emmanuel Macron</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President of the French Republic</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French National Day congratulations</w:t>
            </w:r>
          </w:p>
        </w:tc>
      </w:tr>
      <w:tr>
        <w:tc>
          <w:tcPr>
            <w:tcW w:type="dxa" w:w="1000"/>
            <w:shd w:fill="F5F5F5" w:val="clear"/>
            <w:tcMar>
              <w:top w:type="dxa" w:w="60"/>
              <w:left w:type="dxa" w:w="100"/>
              <w:bottom w:type="dxa" w:w="60"/>
              <w:right w:type="dxa" w:w="100"/>
            </w:tcMar>
          </w:tcPr>
          <w:p>
            <w:r>
              <w:rPr>
                <w:rFonts w:ascii="Arial" w:cs="Arial" w:eastAsia="Arial" w:hAnsi="Arial"/>
                <w:sz w:val="15"/>
                <w:szCs w:val="15"/>
              </w:rPr>
              <w:t xml:space="preserve">13 Jul</w:t>
            </w:r>
          </w:p>
        </w:tc>
        <w:tc>
          <w:tcPr>
            <w:tcW w:type="dxa" w:w="1400"/>
            <w:shd w:fill="F5F5F5"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5F5F5" w:val="clear"/>
            <w:tcMar>
              <w:top w:type="dxa" w:w="60"/>
              <w:left w:type="dxa" w:w="100"/>
              <w:bottom w:type="dxa" w:w="60"/>
              <w:right w:type="dxa" w:w="100"/>
            </w:tcMar>
          </w:tcPr>
          <w:p>
            <w:r>
              <w:rPr>
                <w:rFonts w:ascii="Arial" w:cs="Arial" w:eastAsia="Arial" w:hAnsi="Arial"/>
                <w:sz w:val="15"/>
                <w:szCs w:val="15"/>
              </w:rPr>
              <w:t xml:space="preserve">Jakov Milatović</w:t>
            </w:r>
          </w:p>
        </w:tc>
        <w:tc>
          <w:tcPr>
            <w:tcW w:type="dxa" w:w="3200"/>
            <w:shd w:fill="F5F5F5" w:val="clear"/>
            <w:tcMar>
              <w:top w:type="dxa" w:w="60"/>
              <w:left w:type="dxa" w:w="100"/>
              <w:bottom w:type="dxa" w:w="60"/>
              <w:right w:type="dxa" w:w="100"/>
            </w:tcMar>
          </w:tcPr>
          <w:p>
            <w:r>
              <w:rPr>
                <w:rFonts w:ascii="Arial" w:cs="Arial" w:eastAsia="Arial" w:hAnsi="Arial"/>
                <w:sz w:val="15"/>
                <w:szCs w:val="15"/>
              </w:rPr>
              <w:t xml:space="preserve">President of Montenegro</w:t>
            </w:r>
          </w:p>
        </w:tc>
        <w:tc>
          <w:tcPr>
            <w:tcW w:type="dxa" w:w="3400"/>
            <w:shd w:fill="F5F5F5" w:val="clear"/>
            <w:tcMar>
              <w:top w:type="dxa" w:w="60"/>
              <w:left w:type="dxa" w:w="100"/>
              <w:bottom w:type="dxa" w:w="60"/>
              <w:right w:type="dxa" w:w="100"/>
            </w:tcMar>
          </w:tcPr>
          <w:p>
            <w:r>
              <w:rPr>
                <w:rFonts w:ascii="Arial" w:cs="Arial" w:eastAsia="Arial" w:hAnsi="Arial"/>
                <w:sz w:val="15"/>
                <w:szCs w:val="15"/>
              </w:rPr>
              <w:t xml:space="preserve">Statehood Day congratulations</w:t>
            </w:r>
          </w:p>
        </w:tc>
      </w:tr>
      <w:tr>
        <w:tc>
          <w:tcPr>
            <w:tcW w:type="dxa" w:w="1000"/>
            <w:shd w:fill="FFFFFF" w:val="clear"/>
            <w:tcMar>
              <w:top w:type="dxa" w:w="60"/>
              <w:left w:type="dxa" w:w="100"/>
              <w:bottom w:type="dxa" w:w="60"/>
              <w:right w:type="dxa" w:w="100"/>
            </w:tcMar>
          </w:tcPr>
          <w:p>
            <w:r>
              <w:rPr>
                <w:rFonts w:ascii="Arial" w:cs="Arial" w:eastAsia="Arial" w:hAnsi="Arial"/>
                <w:sz w:val="15"/>
                <w:szCs w:val="15"/>
              </w:rPr>
              <w:t xml:space="preserve">11 Jul</w:t>
            </w:r>
          </w:p>
        </w:tc>
        <w:tc>
          <w:tcPr>
            <w:tcW w:type="dxa" w:w="1400"/>
            <w:shd w:fill="FFFFFF" w:val="clear"/>
            <w:tcMar>
              <w:top w:type="dxa" w:w="60"/>
              <w:left w:type="dxa" w:w="100"/>
              <w:bottom w:type="dxa" w:w="60"/>
              <w:right w:type="dxa" w:w="100"/>
            </w:tcMar>
          </w:tcPr>
          <w:p>
            <w:r>
              <w:rPr>
                <w:rFonts w:ascii="Arial" w:cs="Arial" w:eastAsia="Arial" w:hAnsi="Arial"/>
                <w:sz w:val="15"/>
                <w:szCs w:val="15"/>
              </w:rPr>
              <w:t xml:space="preserve">Letter</w:t>
            </w:r>
          </w:p>
        </w:tc>
        <w:tc>
          <w:tcPr>
            <w:tcW w:type="dxa" w:w="2400"/>
            <w:shd w:fill="FFFFFF" w:val="clear"/>
            <w:tcMar>
              <w:top w:type="dxa" w:w="60"/>
              <w:left w:type="dxa" w:w="100"/>
              <w:bottom w:type="dxa" w:w="60"/>
              <w:right w:type="dxa" w:w="100"/>
            </w:tcMar>
          </w:tcPr>
          <w:p>
            <w:r>
              <w:rPr>
                <w:rFonts w:ascii="Arial" w:cs="Arial" w:eastAsia="Arial" w:hAnsi="Arial"/>
                <w:sz w:val="15"/>
                <w:szCs w:val="15"/>
              </w:rPr>
              <w:t xml:space="preserve">Ukhnaagiin Khurelsukh</w:t>
            </w:r>
          </w:p>
        </w:tc>
        <w:tc>
          <w:tcPr>
            <w:tcW w:type="dxa" w:w="3200"/>
            <w:shd w:fill="FFFFFF" w:val="clear"/>
            <w:tcMar>
              <w:top w:type="dxa" w:w="60"/>
              <w:left w:type="dxa" w:w="100"/>
              <w:bottom w:type="dxa" w:w="60"/>
              <w:right w:type="dxa" w:w="100"/>
            </w:tcMar>
          </w:tcPr>
          <w:p>
            <w:r>
              <w:rPr>
                <w:rFonts w:ascii="Arial" w:cs="Arial" w:eastAsia="Arial" w:hAnsi="Arial"/>
                <w:sz w:val="15"/>
                <w:szCs w:val="15"/>
              </w:rPr>
              <w:t xml:space="preserve">President of Mongolia</w:t>
            </w:r>
          </w:p>
        </w:tc>
        <w:tc>
          <w:tcPr>
            <w:tcW w:type="dxa" w:w="3400"/>
            <w:shd w:fill="FFFFFF" w:val="clear"/>
            <w:tcMar>
              <w:top w:type="dxa" w:w="60"/>
              <w:left w:type="dxa" w:w="100"/>
              <w:bottom w:type="dxa" w:w="60"/>
              <w:right w:type="dxa" w:w="100"/>
            </w:tcMar>
          </w:tcPr>
          <w:p>
            <w:r>
              <w:rPr>
                <w:rFonts w:ascii="Arial" w:cs="Arial" w:eastAsia="Arial" w:hAnsi="Arial"/>
                <w:sz w:val="15"/>
                <w:szCs w:val="15"/>
              </w:rPr>
              <w:t xml:space="preserve">National holiday greetings</w:t>
            </w:r>
          </w:p>
        </w:tc>
      </w:tr>
    </w:tbl>
    <w:p>
      <w:pPr>
        <w:spacing w:before="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dashed" w:color="AAAAAA" w:sz="4"/>
              <w:left w:val="dashed" w:color="AAAAAA" w:sz="4"/>
              <w:bottom w:val="dashed" w:color="AAAAAA" w:sz="4"/>
              <w:right w:val="dashed" w:color="AAAAAA" w:sz="4"/>
            </w:tcBorders>
            <w:shd w:fill="F8F8F8" w:val="clear"/>
            <w:tcMar>
              <w:top w:type="dxa" w:w="100"/>
              <w:left w:type="dxa" w:w="140"/>
              <w:bottom w:type="dxa" w:w="100"/>
              <w:right w:type="dxa" w:w="140"/>
            </w:tcMar>
          </w:tcPr>
          <w:p>
            <w:r>
              <w:rPr>
                <w:rFonts w:ascii="Arial" w:cs="Arial" w:eastAsia="Arial" w:hAnsi="Arial"/>
                <w:b/>
                <w:bCs/>
                <w:color w:val="333333"/>
                <w:sz w:val="17"/>
                <w:szCs w:val="17"/>
              </w:rPr>
              <w:t xml:space="preserve">Note on Decrees &amp; Orders: </w:t>
            </w:r>
            <w:r>
              <w:rPr>
                <w:rFonts w:ascii="Arial" w:cs="Arial" w:eastAsia="Arial" w:hAnsi="Arial"/>
                <w:color w:val="555555"/>
                <w:sz w:val="17"/>
                <w:szCs w:val="17"/>
              </w:rPr>
              <w:t xml:space="preserve">Presidential decrees and orders were not visible in the current listing format at compilation time. Firms tracking a specific decree should verify directly on the president.az documents portal rather than relying on this digest alone.</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ALI MƏHKƏMƏ ORQANI   </w:t>
      </w:r>
      <w:r>
        <w:rPr>
          <w:b/>
          <w:bCs/>
          <w:sz w:val="30"/>
          <w:szCs w:val="30"/>
        </w:rPr>
        <w:br/>
        <w:t xml:space="preserve">Constitutional Court</w:t>
      </w:r>
      <w:r>
        <w:rPr>
          <w:rFonts w:ascii="Arial" w:cs="Arial" w:eastAsia="Arial" w:hAnsi="Arial"/>
          <w:i/>
          <w:iCs/>
          <w:color w:val="888888"/>
          <w:sz w:val="16"/>
          <w:szCs w:val="16"/>
        </w:rPr>
        <w:t xml:space="preserve">	Decisions — constcourt.gov.az</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single" w:color="E0C060" w:sz="4"/>
              <w:left w:val="single" w:color="C0A000" w:sz="24"/>
              <w:bottom w:val="single" w:color="E0C060" w:sz="4"/>
              <w:right w:val="single" w:color="E0C060" w:sz="4"/>
            </w:tcBorders>
            <w:shd w:fill="FFF8E1" w:val="clear"/>
            <w:tcMar>
              <w:top w:type="dxa" w:w="100"/>
              <w:left w:type="dxa" w:w="140"/>
              <w:bottom w:type="dxa" w:w="100"/>
              <w:right w:type="dxa" w:w="140"/>
            </w:tcMar>
          </w:tcPr>
          <w:p>
            <w:r>
              <w:rPr>
                <w:rFonts w:ascii="Arial" w:cs="Arial" w:eastAsia="Arial" w:hAnsi="Arial"/>
                <w:b/>
                <w:bCs/>
                <w:color w:val="6B5900"/>
                <w:sz w:val="17"/>
                <w:szCs w:val="17"/>
              </w:rPr>
              <w:t xml:space="preserve">No New Decisions. </w:t>
            </w:r>
            <w:r>
              <w:rPr>
                <w:rFonts w:ascii="Arial" w:cs="Arial" w:eastAsia="Arial" w:hAnsi="Arial"/>
                <w:color w:val="6B5900"/>
                <w:sz w:val="17"/>
                <w:szCs w:val="17"/>
              </w:rPr>
              <w:t xml:space="preserve">No Constitutional Court decisions were dated within the 11–18 July 2026 reporting period. The most recent published decision on the portal remains dated 25 June 2026.</w:t>
            </w:r>
          </w:p>
        </w:tc>
      </w:tr>
    </w:tbl>
    <w:p>
      <w:pPr>
        <w:pBdr>
          <w:top w:val="single" w:color="1A1A1A" w:sz="12" w:space="4"/>
          <w:bottom w:val="single" w:color="CCCCCC" w:sz="4" w:space="4"/>
        </w:pBdr>
        <w:tabs>
          <w:tab w:val="right" w:pos="9648"/>
        </w:tabs>
        <w:spacing w:after="120" w:before="320"/>
      </w:pPr>
      <w:r>
        <w:rPr>
          <w:rFonts w:ascii="Arial" w:cs="Arial" w:eastAsia="Arial" w:hAnsi="Arial"/>
          <w:b w:val="false"/>
          <w:bCs w:val="false"/>
          <w:color w:val="777777"/>
          <w:spacing w:val="16"/>
          <w:sz w:val="13"/>
          <w:szCs w:val="13"/>
        </w:rPr>
        <w:t xml:space="preserve">OFFICIAL LEGISLATIVE DATABASE   </w:t>
      </w:r>
      <w:r>
        <w:rPr>
          <w:b/>
          <w:bCs/>
          <w:sz w:val="30"/>
          <w:szCs w:val="30"/>
        </w:rPr>
        <w:br/>
        <w:t xml:space="preserve">e-Qanun</w:t>
      </w:r>
      <w:r>
        <w:rPr>
          <w:rFonts w:ascii="Arial" w:cs="Arial" w:eastAsia="Arial" w:hAnsi="Arial"/>
          <w:i/>
          <w:iCs/>
          <w:color w:val="888888"/>
          <w:sz w:val="16"/>
          <w:szCs w:val="16"/>
        </w:rPr>
        <w:t xml:space="preserve">	Normative Acts Register — e-qanun.az</w:t>
      </w:r>
    </w:p>
    <w:tbl>
      <w:tblPr>
        <w:tblW w:type="dxa" w:w="964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648"/>
      </w:tblGrid>
      <w:tr>
        <w:tc>
          <w:tcPr>
            <w:tcW w:type="dxa" w:w="9648"/>
            <w:tcBorders>
              <w:top w:val="single" w:color="E0C060" w:sz="4"/>
              <w:left w:val="single" w:color="C0A000" w:sz="24"/>
              <w:bottom w:val="single" w:color="E0C060" w:sz="4"/>
              <w:right w:val="single" w:color="E0C060" w:sz="4"/>
            </w:tcBorders>
            <w:shd w:fill="FFF8E1" w:val="clear"/>
            <w:tcMar>
              <w:top w:type="dxa" w:w="100"/>
              <w:left w:type="dxa" w:w="140"/>
              <w:bottom w:type="dxa" w:w="100"/>
              <w:right w:type="dxa" w:w="140"/>
            </w:tcMar>
          </w:tcPr>
          <w:p>
            <w:r>
              <w:rPr>
                <w:rFonts w:ascii="Arial" w:cs="Arial" w:eastAsia="Arial" w:hAnsi="Arial"/>
                <w:b/>
                <w:bCs/>
                <w:color w:val="6B5900"/>
                <w:sz w:val="17"/>
                <w:szCs w:val="17"/>
              </w:rPr>
              <w:t xml:space="preserve">Data Not Extractable. </w:t>
            </w:r>
            <w:r>
              <w:rPr>
                <w:rFonts w:ascii="Arial" w:cs="Arial" w:eastAsia="Arial" w:hAnsi="Arial"/>
                <w:color w:val="6B5900"/>
                <w:sz w:val="17"/>
                <w:szCs w:val="17"/>
              </w:rPr>
              <w:t xml:space="preserve">The e-Qanun portal renders its content dynamically via JavaScript and exposed no static listing at compilation time. Readers should consult the portal directly for consolidated texts of any acts enacted during the reporting period.</w:t>
            </w:r>
          </w:p>
        </w:tc>
      </w:tr>
    </w:tbl>
    <w:p>
      <w:r>
        <w:br w:type="pag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9648"/>
            <w:gridSpan w:val="2"/>
            <w:tcBorders>
              <w:top w:val="single" w:color="CCCCCC" w:sz="4"/>
              <w:left w:val="single" w:color="CCCCCC" w:sz="4"/>
              <w:bottom w:val="none" w:color="FFFFFF" w:sz="0"/>
              <w:right w:val="single" w:color="CCCCCC" w:sz="4"/>
            </w:tcBorders>
            <w:shd w:fill="F0EDE6" w:val="clear"/>
            <w:tcMar>
              <w:top w:type="dxa" w:w="120"/>
              <w:left w:type="dxa" w:w="100"/>
              <w:bottom w:type="dxa" w:w="0"/>
              <w:right w:type="dxa" w:w="100"/>
            </w:tcMar>
          </w:tcPr>
          <w:p>
            <w:pPr>
              <w:pBdr>
                <w:bottom w:val="single" w:color="CCCCCC" w:sz="4" w:space="2"/>
              </w:pBdr>
              <w:spacing w:after="60"/>
            </w:pPr>
            <w:r>
              <w:rPr>
                <w:rFonts w:ascii="Arial" w:cs="Arial" w:eastAsia="Arial" w:hAnsi="Arial"/>
                <w:b/>
                <w:bCs/>
                <w:color w:val="777777"/>
                <w:spacing w:val="16"/>
                <w:sz w:val="13"/>
                <w:szCs w:val="13"/>
              </w:rPr>
              <w:t xml:space="preserve">REGULATORY SPOTLIGHT — KEY THEMES, WEEK 29 / 2026</w:t>
            </w:r>
          </w:p>
        </w:tc>
      </w:tr>
      <w:tr>
        <w:tc>
          <w:tcPr>
            <w:tcW w:type="dxa" w:w="4824"/>
            <w:tcBorders>
              <w:top w:val="none" w:color="FFFFFF" w:sz="0"/>
              <w:left w:val="single" w:color="CCCCCC" w:sz="4"/>
              <w:bottom w:val="none" w:color="FFFFFF" w:sz="0"/>
              <w:right w:val="single" w:color="CCCCCC" w:sz="4"/>
            </w:tcBorders>
            <w:shd w:fill="F0EDE6" w:val="clear"/>
            <w:tcMar>
              <w:top w:type="dxa" w:w="100"/>
              <w:left w:type="dxa" w:w="100"/>
              <w:bottom w:type="dxa" w:w="100"/>
              <w:right w:type="dxa" w:w="100"/>
            </w:tcMar>
          </w:tcPr>
          <w:p>
            <w:pPr>
              <w:spacing w:after="40"/>
            </w:pPr>
            <w:r>
              <w:rPr>
                <w:b/>
                <w:bCs/>
                <w:sz w:val="19"/>
                <w:szCs w:val="19"/>
              </w:rPr>
              <w:t xml:space="preserve">1. The 14 July Omnibus — Broadest Package Tracked to Date</w:t>
            </w:r>
          </w:p>
          <w:p>
            <w:r>
              <w:rPr>
                <w:color w:val="444444"/>
                <w:sz w:val="17"/>
                <w:szCs w:val="17"/>
              </w:rPr>
              <w:t xml:space="preserve">Nineteen bills tabled in one sitting, spanning the Civil, Criminal, Tax, Labor, Land, Administrative Offenses and Migration Codes plus a new Crowdfunding law and Constitutional Law on Normative Acts amendment. The sheer breadth suggests a coordinated legislative push ahead of the autumn session. Corporate, tax, employment, and land-use practices should each nominate an owner to track the relevant sub-package through committee review — the Land Code changes (items 12–13) and the Tax/Migration/Procurement package (item 6) look most commercially consequential.</w:t>
            </w:r>
          </w:p>
        </w:tc>
        <w:tc>
          <w:tcPr>
            <w:tcW w:type="dxa" w:w="4824"/>
            <w:tcBorders>
              <w:top w:val="none" w:color="FFFFFF" w:sz="0"/>
              <w:left w:val="single" w:color="CCCCCC" w:sz="4"/>
              <w:bottom w:val="none" w:color="FFFFFF" w:sz="0"/>
              <w:right w:val="single" w:color="CCCCCC" w:sz="4"/>
            </w:tcBorders>
            <w:shd w:fill="F0EDE6" w:val="clear"/>
            <w:tcMar>
              <w:top w:type="dxa" w:w="100"/>
              <w:left w:type="dxa" w:w="100"/>
              <w:bottom w:type="dxa" w:w="100"/>
              <w:right w:type="dxa" w:w="100"/>
            </w:tcMar>
          </w:tcPr>
          <w:p>
            <w:pPr>
              <w:spacing w:after="40"/>
            </w:pPr>
            <w:r>
              <w:rPr>
                <w:b/>
                <w:bCs/>
                <w:sz w:val="19"/>
                <w:szCs w:val="19"/>
              </w:rPr>
              <w:t xml:space="preserve">2. New Crowdfunding Law</w:t>
            </w:r>
          </w:p>
          <w:p>
            <w:r>
              <w:rPr>
                <w:color w:val="444444"/>
                <w:sz w:val="17"/>
                <w:szCs w:val="17"/>
              </w:rPr>
              <w:t xml:space="preserve">A standalone "On Crowdfunding" bill would be Azerbaijan's first dedicated legal regime for crowdfunding platforms. Fintech and capital-markets clients exploring alternative-finance offerings should watch this closely through subsequent readings — it may define licensing, investor-protection, and platform-liability rules from scratch.</w:t>
            </w:r>
          </w:p>
        </w:tc>
      </w:tr>
      <w:tr>
        <w:tc>
          <w:tcPr>
            <w:tcW w:type="dxa" w:w="4824"/>
            <w:tcBorders>
              <w:top w:val="none" w:color="FFFFFF" w:sz="0"/>
              <w:left w:val="single" w:color="CCCCCC" w:sz="4"/>
              <w:bottom w:val="single" w:color="CCCCCC" w:sz="4"/>
              <w:right w:val="single" w:color="CCCCCC" w:sz="4"/>
            </w:tcBorders>
            <w:shd w:fill="F0EDE6" w:val="clear"/>
            <w:tcMar>
              <w:top w:type="dxa" w:w="100"/>
              <w:left w:type="dxa" w:w="100"/>
              <w:bottom w:type="dxa" w:w="100"/>
              <w:right w:type="dxa" w:w="100"/>
            </w:tcMar>
          </w:tcPr>
          <w:p>
            <w:pPr>
              <w:spacing w:after="40"/>
            </w:pPr>
            <w:r>
              <w:rPr>
                <w:b/>
                <w:bCs/>
                <w:sz w:val="19"/>
                <w:szCs w:val="19"/>
              </w:rPr>
              <w:t xml:space="preserve">3. Preschool Financing Model</w:t>
            </w:r>
          </w:p>
          <w:p>
            <w:r>
              <w:rPr>
                <w:color w:val="444444"/>
                <w:sz w:val="17"/>
                <w:szCs w:val="17"/>
              </w:rPr>
              <w:t xml:space="preserve">Cabinet Decision No. 218 introduces a parent–state–private co-financing model for preschool education — a notable shift from purely state-funded provision. Clients in private education or PPP advisory should review the full text once published on e-qanun.az for investment and licensing implications.</w:t>
            </w:r>
          </w:p>
        </w:tc>
        <w:tc>
          <w:tcPr>
            <w:tcW w:type="dxa" w:w="4824"/>
            <w:tcBorders>
              <w:top w:val="none" w:color="FFFFFF" w:sz="0"/>
              <w:left w:val="single" w:color="CCCCCC" w:sz="4"/>
              <w:bottom w:val="single" w:color="CCCCCC" w:sz="4"/>
              <w:right w:val="single" w:color="CCCCCC" w:sz="4"/>
            </w:tcBorders>
            <w:shd w:fill="F0EDE6" w:val="clear"/>
            <w:tcMar>
              <w:top w:type="dxa" w:w="100"/>
              <w:left w:type="dxa" w:w="100"/>
              <w:bottom w:type="dxa" w:w="100"/>
              <w:right w:type="dxa" w:w="100"/>
            </w:tcMar>
          </w:tcPr>
          <w:p>
            <w:pPr>
              <w:spacing w:after="40"/>
            </w:pPr>
            <w:r>
              <w:rPr>
                <w:b/>
                <w:bCs/>
                <w:sz w:val="19"/>
                <w:szCs w:val="19"/>
              </w:rPr>
              <w:t xml:space="preserve">4. Order-Numbering Gap Worth Flagging</w:t>
            </w:r>
          </w:p>
          <w:p>
            <w:r>
              <w:rPr>
                <w:color w:val="444444"/>
                <w:sz w:val="17"/>
                <w:szCs w:val="17"/>
              </w:rPr>
              <w:t xml:space="preserve">Cabinet Orders jump from No. 495s to Nos. 507s–510s within two days, with 496s–506s unaccounted for in the public listing. This is likely a publication-lag or partial-disclosure artifact rather than a substantive gap, but any client matter turning on a specific order in that range should be verified directly with the Cabinet's registry rather than assumed absent.</w:t>
            </w:r>
          </w:p>
        </w:tc>
      </w:tr>
    </w:tbl>
    <w:p>
      <w:pPr>
        <w:spacing w:before="400"/>
      </w:pPr>
    </w:p>
    <w:p>
      <w:pPr>
        <w:pBdr>
          <w:top w:val="single" w:color="1A1A1A" w:sz="16" w:space="6"/>
        </w:pBdr>
        <w:spacing w:after="120" w:before="200"/>
      </w:pPr>
    </w:p>
    <w:p>
      <w:r>
        <w:rPr>
          <w:rFonts w:ascii="Arial" w:cs="Arial" w:eastAsia="Arial" w:hAnsi="Arial"/>
          <w:b/>
          <w:bCs/>
          <w:color w:val="777777"/>
          <w:sz w:val="15"/>
          <w:szCs w:val="15"/>
        </w:rPr>
        <w:t xml:space="preserve">Omni Law Gazette </w:t>
      </w:r>
      <w:r>
        <w:rPr>
          <w:rFonts w:ascii="Arial" w:cs="Arial" w:eastAsia="Arial" w:hAnsi="Arial"/>
          <w:color w:val="777777"/>
          <w:sz w:val="15"/>
          <w:szCs w:val="15"/>
        </w:rPr>
        <w:t xml:space="preserve">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p>
      <w:pPr>
        <w:spacing w:before="160"/>
        <w:jc w:val="right"/>
      </w:pPr>
      <w:r>
        <w:rPr>
          <w:rFonts w:ascii="Arial" w:cs="Arial" w:eastAsia="Arial" w:hAnsi="Arial"/>
          <w:b/>
          <w:bCs/>
          <w:color w:val="777777"/>
          <w:sz w:val="15"/>
          <w:szCs w:val="15"/>
        </w:rPr>
        <w:t xml:space="preserve">Issue No. 6</w:t>
      </w:r>
    </w:p>
    <w:p>
      <w:pPr>
        <w:jc w:val="right"/>
      </w:pPr>
      <w:r>
        <w:rPr>
          <w:rFonts w:ascii="Arial" w:cs="Arial" w:eastAsia="Arial" w:hAnsi="Arial"/>
          <w:color w:val="777777"/>
          <w:sz w:val="15"/>
          <w:szCs w:val="15"/>
        </w:rPr>
        <w:t xml:space="preserve">Week of 11–18 July 2026</w:t>
      </w:r>
    </w:p>
    <w:p>
      <w:pPr>
        <w:jc w:val="right"/>
      </w:pPr>
      <w:r>
        <w:rPr>
          <w:rFonts w:ascii="Arial" w:cs="Arial" w:eastAsia="Arial" w:hAnsi="Arial"/>
          <w:color w:val="777777"/>
          <w:sz w:val="15"/>
          <w:szCs w:val="15"/>
        </w:rPr>
        <w:t xml:space="preserve">Compiled: 18 July 2026</w:t>
      </w:r>
    </w:p>
    <w:p>
      <w:pPr>
        <w:jc w:val="right"/>
      </w:pPr>
      <w:r>
        <w:rPr>
          <w:rFonts w:ascii="Arial" w:cs="Arial" w:eastAsia="Arial" w:hAnsi="Arial"/>
          <w:color w:val="777777"/>
          <w:sz w:val="15"/>
          <w:szCs w:val="15"/>
        </w:rPr>
        <w:t xml:space="preserve">© 2026 Omni Law Firm</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3"/>
        <w:szCs w:val="13"/>
      </w:rPr>
      <w:t xml:space="preserve">Omni Law Gazette · Issue No. 6 · Internal circulation only · 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824"/>
        <w:tab w:val="right" w:pos="9648"/>
      </w:tabs>
    </w:pPr>
    <w:r>
      <w:rPr>
        <w:rFonts w:ascii="Arial" w:cs="Arial" w:eastAsia="Arial" w:hAnsi="Arial"/>
        <w:color w:val="555555"/>
        <w:sz w:val="13"/>
        <w:szCs w:val="13"/>
      </w:rPr>
      <w:t xml:space="preserve">ISSN 0000-0000 (PROTOTYPE)</w:t>
    </w:r>
    <w:r>
      <w:rPr>
        <w:rFonts w:ascii="Arial" w:cs="Arial" w:eastAsia="Arial" w:hAnsi="Arial"/>
        <w:color w:val="555555"/>
        <w:sz w:val="13"/>
        <w:szCs w:val="13"/>
      </w:rPr>
      <w:t xml:space="preserve">	INTERNAL CIRCULATION — OMNI LAW FIRM</w:t>
    </w:r>
    <w:r>
      <w:rPr>
        <w:rFonts w:ascii="Arial" w:cs="Arial" w:eastAsia="Arial" w:hAnsi="Arial"/>
        <w:color w:val="555555"/>
        <w:sz w:val="13"/>
        <w:szCs w:val="13"/>
      </w:rPr>
      <w:t xml:space="preserve">	omni-law-gazette.internal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2026-07-22T08:38:39.151Z</dcterms:created>
  <dcterms:modified xsi:type="dcterms:W3CDTF">2026-07-22T08:38:39.152Z</dcterms:modified>
</cp:coreProperties>
</file>

<file path=docProps/custom.xml><?xml version="1.0" encoding="utf-8"?>
<Properties xmlns="http://schemas.openxmlformats.org/officeDocument/2006/custom-properties" xmlns:vt="http://schemas.openxmlformats.org/officeDocument/2006/docPropsVTypes"/>
</file>