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40"/>
      </w:pPr>
      <w:r>
        <w:rPr>
          <w:rFonts w:ascii="Arial" w:hAnsi="Arial"/>
          <w:b w:val="0"/>
          <w:i w:val="0"/>
          <w:color w:val="555555"/>
          <w:sz w:val="14"/>
        </w:rPr>
        <w:t>ISSN 0000-0000 (PROTOTYPE)   ·   INTERNAL CIRCULATION — OMNI LAW FIRM   ·   omni-law-gazette.internal</w:t>
      </w:r>
    </w:p>
    <w:p>
      <w:pPr>
        <w:jc w:val="center"/>
        <w:spacing w:before="40" w:after="20"/>
      </w:pPr>
      <w:r>
        <w:rPr>
          <w:rFonts w:ascii="Georgia" w:hAnsi="Georgia"/>
          <w:b/>
          <w:color w:val="1A1A1A"/>
          <w:sz w:val="76"/>
        </w:rPr>
        <w:t xml:space="preserve">OMNI </w:t>
      </w:r>
      <w:r>
        <w:rPr>
          <w:rFonts w:ascii="Georgia" w:hAnsi="Georgia"/>
          <w:b w:val="0"/>
          <w:i/>
          <w:color w:val="1A1A1A"/>
          <w:sz w:val="76"/>
        </w:rPr>
        <w:t xml:space="preserve">Law </w:t>
      </w:r>
      <w:r>
        <w:rPr>
          <w:rFonts w:ascii="Georgia" w:hAnsi="Georgia"/>
          <w:b/>
          <w:color w:val="1A1A1A"/>
          <w:sz w:val="76"/>
        </w:rPr>
        <w:t>GAZETTE</w:t>
      </w:r>
    </w:p>
    <w:p>
      <w:pPr>
        <w:jc w:val="center"/>
        <w:spacing w:before="0" w:after="40"/>
      </w:pPr>
      <w:r>
        <w:rPr>
          <w:rFonts w:ascii="Arial" w:hAnsi="Arial"/>
          <w:b w:val="0"/>
          <w:i w:val="0"/>
          <w:color w:val="555555"/>
          <w:sz w:val="17"/>
        </w:rPr>
        <w:t>LEGISLATIVE INTELLIGENCE FOR LEGAL PROFESSIONALS</w:t>
      </w:r>
    </w:p>
    <w:p>
      <w:pPr>
        <w:pBdr>
          <w:bottom w:val="single" w:sz="4" w:space="4" w:color="1a1a1a"/>
        </w:pBdr>
        <w:spacing w:before="0" w:after="60"/>
      </w:pPr>
    </w:p>
    <w:p>
      <w:pPr>
        <w:jc w:val="center"/>
        <w:spacing w:before="0" w:after="80"/>
      </w:pPr>
      <w:r>
        <w:rPr>
          <w:rFonts w:ascii="Arial" w:hAnsi="Arial"/>
          <w:b w:val="0"/>
          <w:i w:val="0"/>
          <w:color w:val="555555"/>
          <w:sz w:val="15"/>
        </w:rPr>
        <w:t>ISSUE No. 2     ·     REPORTING PERIOD: 13 JUNE – 20 JUNE 2026     ·     PUBLISHED: FRIDAY, 20 JUNE 2026</w:t>
      </w:r>
    </w:p>
    <w:tbl>
      <w:tblPr>
        <w:tblW w:type="auto" w:w="0"/>
        <w:jc w:val="center"/>
        <w:tblLook w:firstColumn="1" w:firstRow="1" w:lastColumn="0" w:lastRow="0" w:noHBand="0" w:noVBand="1" w:val="04A0"/>
      </w:tblPr>
      <w:tblGrid>
        <w:gridCol w:w="9412"/>
      </w:tblGrid>
      <w:tr>
        <w:tc>
          <w:tcPr>
            <w:tcW w:type="dxa" w:w="9412"/>
            <w:shd w:val="clear" w:color="auto" w:fill="1a1a1a"/>
          </w:tcPr>
          <w:p>
            <w:pPr>
              <w:jc w:val="center"/>
              <w:spacing w:before="80" w:after="80"/>
            </w:pPr>
            <w:r>
              <w:rPr>
                <w:rFonts w:ascii="Arial" w:hAnsi="Arial"/>
                <w:b/>
                <w:color w:val="FFFFFF"/>
                <w:sz w:val="17"/>
              </w:rPr>
              <w:t>WEEK 25, 2026   ·   REPUBLIC OF AZERBAIJAN   ·   LEGISLATIVE MONITOR</w:t>
            </w:r>
          </w:p>
        </w:tc>
      </w:tr>
    </w:tbl>
    <w:p/>
    <w:p>
      <w:pPr>
        <w:spacing w:before="60" w:after="40"/>
        <w:pBdr>
          <w:bottom w:val="single" w:sz="4" w:space="4" w:color="cccccc"/>
        </w:pBdr>
      </w:pPr>
      <w:r>
        <w:rPr>
          <w:rFonts w:ascii="Arial" w:hAnsi="Arial"/>
          <w:b w:val="0"/>
          <w:i w:val="0"/>
          <w:color w:val="555555"/>
          <w:sz w:val="15"/>
        </w:rPr>
        <w:t>THIS WEEK AT A GLANCE</w:t>
      </w:r>
    </w:p>
    <w:tbl>
      <w:tblPr>
        <w:tblW w:type="auto" w:w="0"/>
        <w:jc w:val="center"/>
        <w:tblLook w:firstColumn="1" w:firstRow="1" w:lastColumn="0" w:lastRow="0" w:noHBand="0" w:noVBand="1" w:val="04A0"/>
      </w:tblPr>
      <w:tblGrid>
        <w:gridCol w:w="2353"/>
        <w:gridCol w:w="2353"/>
        <w:gridCol w:w="2353"/>
        <w:gridCol w:w="2353"/>
      </w:tblGrid>
      <w:tr>
        <w:tc>
          <w:tcPr>
            <w:tcW w:type="dxa" w:w="2353"/>
          </w:tcPr>
          <w:p>
            <w:pPr>
              <w:jc w:val="center"/>
            </w:pPr>
            <w:r>
              <w:rPr>
                <w:rFonts w:ascii="Georgia" w:hAnsi="Georgia"/>
                <w:b/>
                <w:color w:val="1A1A1A"/>
                <w:sz w:val="52"/>
              </w:rPr>
              <w:t>10</w:t>
            </w:r>
          </w:p>
        </w:tc>
        <w:tc>
          <w:tcPr>
            <w:tcW w:type="dxa" w:w="2353"/>
          </w:tcPr>
          <w:p>
            <w:pPr>
              <w:jc w:val="center"/>
            </w:pPr>
            <w:r>
              <w:rPr>
                <w:rFonts w:ascii="Georgia" w:hAnsi="Georgia"/>
                <w:b/>
                <w:color w:val="1A1A1A"/>
                <w:sz w:val="52"/>
              </w:rPr>
              <w:t>6</w:t>
            </w:r>
          </w:p>
        </w:tc>
        <w:tc>
          <w:tcPr>
            <w:tcW w:type="dxa" w:w="2353"/>
          </w:tcPr>
          <w:p>
            <w:pPr>
              <w:jc w:val="center"/>
            </w:pPr>
            <w:r>
              <w:rPr>
                <w:rFonts w:ascii="Georgia" w:hAnsi="Georgia"/>
                <w:b/>
                <w:color w:val="1A1A1A"/>
                <w:sz w:val="52"/>
              </w:rPr>
              <w:t>2</w:t>
            </w:r>
          </w:p>
        </w:tc>
        <w:tc>
          <w:tcPr>
            <w:tcW w:type="dxa" w:w="2353"/>
          </w:tcPr>
          <w:p>
            <w:pPr>
              <w:jc w:val="center"/>
            </w:pPr>
            <w:r>
              <w:rPr>
                <w:rFonts w:ascii="Georgia" w:hAnsi="Georgia"/>
                <w:b/>
                <w:color w:val="1A1A1A"/>
                <w:sz w:val="52"/>
              </w:rPr>
              <w:t>7</w:t>
            </w:r>
          </w:p>
        </w:tc>
      </w:tr>
      <w:tr>
        <w:tc>
          <w:tcPr>
            <w:tcW w:type="dxa" w:w="2353"/>
          </w:tcPr>
          <w:p>
            <w:pPr>
              <w:jc w:val="center"/>
            </w:pPr>
            <w:r>
              <w:rPr>
                <w:rFonts w:ascii="Arial" w:hAnsi="Arial"/>
                <w:b w:val="0"/>
                <w:i w:val="0"/>
                <w:color w:val="555555"/>
                <w:sz w:val="15"/>
              </w:rPr>
              <w:t>Bills under</w:t>
              <w:br/>
              <w:t>Parliamentary Review</w:t>
            </w:r>
          </w:p>
        </w:tc>
        <w:tc>
          <w:tcPr>
            <w:tcW w:type="dxa" w:w="2353"/>
          </w:tcPr>
          <w:p>
            <w:pPr>
              <w:jc w:val="center"/>
            </w:pPr>
            <w:r>
              <w:rPr>
                <w:rFonts w:ascii="Arial" w:hAnsi="Arial"/>
                <w:b w:val="0"/>
                <w:i w:val="0"/>
                <w:color w:val="555555"/>
                <w:sz w:val="15"/>
              </w:rPr>
              <w:t>Cabinet of Ministers</w:t>
              <w:br/>
              <w:t>Decisions</w:t>
            </w:r>
          </w:p>
        </w:tc>
        <w:tc>
          <w:tcPr>
            <w:tcW w:type="dxa" w:w="2353"/>
          </w:tcPr>
          <w:p>
            <w:pPr>
              <w:jc w:val="center"/>
            </w:pPr>
            <w:r>
              <w:rPr>
                <w:rFonts w:ascii="Arial" w:hAnsi="Arial"/>
                <w:b w:val="0"/>
                <w:i w:val="0"/>
                <w:color w:val="555555"/>
                <w:sz w:val="15"/>
              </w:rPr>
              <w:t>Cabinet of Ministers</w:t>
              <w:br/>
              <w:t>Orders</w:t>
            </w:r>
          </w:p>
        </w:tc>
        <w:tc>
          <w:tcPr>
            <w:tcW w:type="dxa" w:w="2353"/>
          </w:tcPr>
          <w:p>
            <w:pPr>
              <w:jc w:val="center"/>
            </w:pPr>
            <w:r>
              <w:rPr>
                <w:rFonts w:ascii="Arial" w:hAnsi="Arial"/>
                <w:b w:val="0"/>
                <w:i w:val="0"/>
                <w:color w:val="555555"/>
                <w:sz w:val="15"/>
              </w:rPr>
              <w:t>Presidential Acts,</w:t>
              <w:br/>
              <w:t>Addresses &amp; Letters</w:t>
            </w:r>
          </w:p>
        </w:tc>
      </w:tr>
    </w:tbl>
    <w:p/>
    <w:p>
      <w:pPr>
        <w:spacing w:before="160" w:after="60"/>
        <w:pBdr>
          <w:bottom w:val="single" w:sz="4" w:space="4" w:color="cccccc"/>
        </w:pBdr>
        <w:pBdr>
          <w:top w:val="single" w:sz="12" w:space="4" w:color="1a1a1a"/>
        </w:pBdr>
      </w:pPr>
      <w:r>
        <w:rPr>
          <w:rFonts w:ascii="Arial" w:hAnsi="Arial"/>
          <w:color w:val="888888"/>
          <w:sz w:val="14"/>
        </w:rPr>
        <w:t xml:space="preserve">PARLIAMENT OF AZERBAIJAN   </w:t>
      </w:r>
      <w:r>
        <w:rPr>
          <w:rFonts w:ascii="Georgia" w:hAnsi="Georgia"/>
          <w:b/>
          <w:color w:val="1A1A1A"/>
          <w:sz w:val="30"/>
        </w:rPr>
        <w:t>Milli Majlis</w:t>
      </w:r>
      <w:r>
        <w:rPr>
          <w:rFonts w:ascii="Arial" w:hAnsi="Arial"/>
          <w:i/>
          <w:color w:val="888888"/>
          <w:sz w:val="16"/>
        </w:rPr>
        <w:t xml:space="preserve">   Bills &amp; Legislation — 19 June 2026</w:t>
      </w:r>
    </w:p>
    <w:p>
      <w:pPr>
        <w:spacing w:before="40" w:after="80"/>
      </w:pPr>
      <w:r>
        <w:rPr>
          <w:rFonts w:ascii="Arial" w:hAnsi="Arial"/>
          <w:b w:val="0"/>
          <w:i w:val="0"/>
          <w:color w:val="555555"/>
          <w:sz w:val="18"/>
        </w:rPr>
        <w:t xml:space="preserve">The Milli Majlis (National Assembly) placed </w:t>
      </w:r>
      <w:r>
        <w:rPr>
          <w:rFonts w:ascii="Arial" w:hAnsi="Arial"/>
          <w:b/>
          <w:color w:val="555555"/>
          <w:sz w:val="18"/>
        </w:rPr>
        <w:t>ten bills</w:t>
      </w:r>
      <w:r>
        <w:rPr>
          <w:rFonts w:ascii="Arial" w:hAnsi="Arial"/>
          <w:b w:val="0"/>
          <w:i w:val="0"/>
          <w:color w:val="555555"/>
          <w:sz w:val="18"/>
        </w:rPr>
        <w:t xml:space="preserve"> on the legislative agenda on </w:t>
      </w:r>
      <w:r>
        <w:rPr>
          <w:rFonts w:ascii="Arial" w:hAnsi="Arial"/>
          <w:b/>
          <w:color w:val="555555"/>
          <w:sz w:val="18"/>
        </w:rPr>
        <w:t>19 June 2026</w:t>
      </w:r>
      <w:r>
        <w:rPr>
          <w:rFonts w:ascii="Arial" w:hAnsi="Arial"/>
          <w:b w:val="0"/>
          <w:i w:val="0"/>
          <w:color w:val="555555"/>
          <w:sz w:val="18"/>
        </w:rPr>
        <w:t xml:space="preserve"> for public discussion and first reading. The package spans fiscal accountability, trade diplomacy, public administration reform, and a broad multi-sector transport and commerce omnibus. No new laws or parliamentary decrees were enacted during this reporting period.</w:t>
      </w:r>
    </w:p>
    <w:p>
      <w:pPr>
        <w:pStyle w:val="ListNumber"/>
        <w:spacing w:before="40" w:after="20"/>
      </w:pPr>
      <w:r>
        <w:rPr>
          <w:rFonts w:ascii="Georgia" w:hAnsi="Georgia"/>
          <w:b/>
          <w:color w:val="1A1A1A"/>
          <w:sz w:val="19"/>
        </w:rPr>
        <w:t>2025 State Budget Execution Report</w:t>
      </w:r>
    </w:p>
    <w:p>
      <w:pPr>
        <w:spacing w:before="0" w:after="60"/>
      </w:pPr>
      <w:r>
        <w:rPr>
          <w:rFonts w:ascii="Arial" w:hAnsi="Arial"/>
          <w:b w:val="0"/>
          <w:i w:val="0"/>
          <w:color w:val="555555"/>
          <w:sz w:val="17"/>
        </w:rPr>
        <w:t>Annual accountability report on the implementation of the 2025 state budget, submitted for parliamentary review and approval. A key fiscal governance milestone.</w:t>
      </w:r>
    </w:p>
    <w:p>
      <w:pPr>
        <w:pStyle w:val="ListNumber"/>
        <w:spacing w:before="40" w:after="20"/>
      </w:pPr>
      <w:r>
        <w:rPr>
          <w:rFonts w:ascii="Georgia" w:hAnsi="Georgia"/>
          <w:b/>
          <w:color w:val="1A1A1A"/>
          <w:sz w:val="19"/>
        </w:rPr>
        <w:t>Customs Code Amendments</w:t>
      </w:r>
    </w:p>
    <w:p>
      <w:pPr>
        <w:spacing w:before="0" w:after="60"/>
      </w:pPr>
      <w:r>
        <w:rPr>
          <w:rFonts w:ascii="Arial" w:hAnsi="Arial"/>
          <w:b w:val="0"/>
          <w:i w:val="0"/>
          <w:color w:val="555555"/>
          <w:sz w:val="17"/>
        </w:rPr>
        <w:t>Proposed amendments to Azerbaijan's Customs Code covering import/export procedures, tariff classifications, or enforcement mechanisms. May affect trade and logistics operations.</w:t>
      </w:r>
    </w:p>
    <w:p>
      <w:pPr>
        <w:pStyle w:val="ListNumber"/>
        <w:spacing w:before="40" w:after="20"/>
      </w:pPr>
      <w:r>
        <w:rPr>
          <w:rFonts w:ascii="Georgia" w:hAnsi="Georgia"/>
          <w:b/>
          <w:color w:val="1A1A1A"/>
          <w:sz w:val="19"/>
        </w:rPr>
        <w:t>Civil Service Law — Amendments</w:t>
      </w:r>
    </w:p>
    <w:p>
      <w:pPr>
        <w:spacing w:before="0" w:after="60"/>
      </w:pPr>
      <w:r>
        <w:rPr>
          <w:rFonts w:ascii="Arial" w:hAnsi="Arial"/>
          <w:b w:val="0"/>
          <w:i w:val="0"/>
          <w:color w:val="555555"/>
          <w:sz w:val="17"/>
        </w:rPr>
        <w:t>Targeted changes to the Law on State Service addressing civil servant rights, obligations, conflict-of-interest restrictions, or career advancement frameworks.</w:t>
      </w:r>
    </w:p>
    <w:p>
      <w:pPr>
        <w:pStyle w:val="ListNumber"/>
        <w:spacing w:before="40" w:after="20"/>
      </w:pPr>
      <w:r>
        <w:rPr>
          <w:rFonts w:ascii="Georgia" w:hAnsi="Georgia"/>
          <w:b/>
          <w:color w:val="1A1A1A"/>
          <w:sz w:val="19"/>
        </w:rPr>
        <w:t>Azerbaijan–Ecuador Visa Exemption Agreement (Diplomatic Passports)</w:t>
      </w:r>
    </w:p>
    <w:p>
      <w:pPr>
        <w:spacing w:before="0" w:after="60"/>
      </w:pPr>
      <w:r>
        <w:rPr>
          <w:rFonts w:ascii="Arial" w:hAnsi="Arial"/>
          <w:b w:val="0"/>
          <w:i w:val="0"/>
          <w:color w:val="555555"/>
          <w:sz w:val="17"/>
        </w:rPr>
        <w:t>Bilateral visa exemption accord with the Republic of Ecuador for holders of diplomatic passports, expanding Azerbaijan's diplomatic travel framework in Latin America.</w:t>
      </w:r>
    </w:p>
    <w:p>
      <w:pPr>
        <w:pStyle w:val="ListNumber"/>
        <w:spacing w:before="40" w:after="20"/>
      </w:pPr>
      <w:r>
        <w:rPr>
          <w:rFonts w:ascii="Georgia" w:hAnsi="Georgia"/>
          <w:b/>
          <w:color w:val="1A1A1A"/>
          <w:sz w:val="19"/>
        </w:rPr>
        <w:t>Constitutional Law on Normative Legal Acts — Amendments</w:t>
      </w:r>
    </w:p>
    <w:p>
      <w:pPr>
        <w:spacing w:before="0" w:after="60"/>
      </w:pPr>
      <w:r>
        <w:rPr>
          <w:rFonts w:ascii="Arial" w:hAnsi="Arial"/>
          <w:b w:val="0"/>
          <w:i w:val="0"/>
          <w:color w:val="555555"/>
          <w:sz w:val="17"/>
        </w:rPr>
        <w:t>Constitutional-law-level amendments to the framework governing the adoption, publication, and hierarchy of normative legal acts in Azerbaijan. A structurally significant bill.</w:t>
      </w:r>
    </w:p>
    <w:p>
      <w:pPr>
        <w:pStyle w:val="ListNumber"/>
        <w:spacing w:before="40" w:after="20"/>
      </w:pPr>
      <w:r>
        <w:rPr>
          <w:rFonts w:ascii="Georgia" w:hAnsi="Georgia"/>
          <w:b/>
          <w:color w:val="1A1A1A"/>
          <w:sz w:val="19"/>
        </w:rPr>
        <w:t>Civil Service &amp; Mass Media Laws — Combined Amendment Package</w:t>
      </w:r>
    </w:p>
    <w:p>
      <w:pPr>
        <w:spacing w:before="0" w:after="60"/>
      </w:pPr>
      <w:r>
        <w:rPr>
          <w:rFonts w:ascii="Arial" w:hAnsi="Arial"/>
          <w:b w:val="0"/>
          <w:i w:val="0"/>
          <w:color w:val="555555"/>
          <w:sz w:val="17"/>
        </w:rPr>
        <w:t>Dual-law package introducing coordinated changes to state service legislation and the mass media legal framework. May address public officials' media interactions or media licensing.</w:t>
      </w:r>
    </w:p>
    <w:p>
      <w:pPr>
        <w:pStyle w:val="ListNumber"/>
        <w:spacing w:before="40" w:after="20"/>
      </w:pPr>
      <w:r>
        <w:rPr>
          <w:rFonts w:ascii="Georgia" w:hAnsi="Georgia"/>
          <w:b/>
          <w:color w:val="1A1A1A"/>
          <w:sz w:val="19"/>
        </w:rPr>
        <w:t>Omnibus Transport &amp; Commerce Amendment Package</w:t>
      </w:r>
    </w:p>
    <w:p>
      <w:pPr>
        <w:spacing w:before="0" w:after="60"/>
      </w:pPr>
      <w:r>
        <w:rPr>
          <w:rFonts w:ascii="Arial" w:hAnsi="Arial"/>
          <w:b w:val="0"/>
          <w:i w:val="0"/>
          <w:color w:val="555555"/>
          <w:sz w:val="17"/>
        </w:rPr>
        <w:t>A wide-ranging multi-law amendment covering maritime law, road traffic, land transport, customs duties, civil commerce, automotive regulation, and aviation codes. The most commercially broad bill of the week, with potential impact on logistics, shipping, and air transport agreements.</w:t>
      </w:r>
    </w:p>
    <w:p>
      <w:pPr>
        <w:pStyle w:val="ListNumber"/>
        <w:spacing w:before="40" w:after="20"/>
      </w:pPr>
      <w:r>
        <w:rPr>
          <w:rFonts w:ascii="Georgia" w:hAnsi="Georgia"/>
          <w:b/>
          <w:color w:val="1A1A1A"/>
          <w:sz w:val="19"/>
        </w:rPr>
        <w:t>Road Traffic Law Implementation Package</w:t>
      </w:r>
    </w:p>
    <w:p>
      <w:pPr>
        <w:spacing w:before="0" w:after="60"/>
      </w:pPr>
      <w:r>
        <w:rPr>
          <w:rFonts w:ascii="Arial" w:hAnsi="Arial"/>
          <w:b w:val="0"/>
          <w:i w:val="0"/>
          <w:color w:val="555555"/>
          <w:sz w:val="17"/>
        </w:rPr>
        <w:t>Secondary legislation giving effect to the December 9, 2025 Road Traffic Law reform. Includes consequential amendments to related acts to align with the new traffic regime.</w:t>
      </w:r>
    </w:p>
    <w:p>
      <w:pPr>
        <w:pStyle w:val="ListNumber"/>
        <w:spacing w:before="40" w:after="20"/>
      </w:pPr>
      <w:r>
        <w:rPr>
          <w:rFonts w:ascii="Georgia" w:hAnsi="Georgia"/>
          <w:b/>
          <w:color w:val="1A1A1A"/>
          <w:sz w:val="19"/>
        </w:rPr>
        <w:t>Parliament Rules of Procedure &amp; Legislative Initiative Procedures</w:t>
      </w:r>
    </w:p>
    <w:p>
      <w:pPr>
        <w:spacing w:before="0" w:after="60"/>
      </w:pPr>
      <w:r>
        <w:rPr>
          <w:rFonts w:ascii="Arial" w:hAnsi="Arial"/>
          <w:b w:val="0"/>
          <w:i w:val="0"/>
          <w:color w:val="555555"/>
          <w:sz w:val="17"/>
        </w:rPr>
        <w:t>Reform of Milli Majlis internal regulations and procedures for legislative initiative, potentially affecting how bills are introduced, debated, and voted upon. Institutional-governance reform.</w:t>
      </w:r>
    </w:p>
    <w:p>
      <w:pPr>
        <w:pStyle w:val="ListNumber"/>
        <w:spacing w:before="40" w:after="20"/>
      </w:pPr>
      <w:r>
        <w:rPr>
          <w:rFonts w:ascii="Georgia" w:hAnsi="Georgia"/>
          <w:b/>
          <w:color w:val="1A1A1A"/>
          <w:sz w:val="19"/>
        </w:rPr>
        <w:t>General Education Law — Amendments</w:t>
      </w:r>
    </w:p>
    <w:p>
      <w:pPr>
        <w:spacing w:before="0" w:after="60"/>
      </w:pPr>
      <w:r>
        <w:rPr>
          <w:rFonts w:ascii="Arial" w:hAnsi="Arial"/>
          <w:b w:val="0"/>
          <w:i w:val="0"/>
          <w:color w:val="555555"/>
          <w:sz w:val="17"/>
        </w:rPr>
        <w:t>Proposed changes to the Law on General Education addressing curriculum standards, school management, teacher certification, or student rights.</w:t>
      </w:r>
    </w:p>
    <w:tbl>
      <w:tblPr>
        <w:tblW w:type="auto" w:w="0"/>
        <w:jc w:val="center"/>
        <w:tblLook w:firstColumn="1" w:firstRow="1" w:lastColumn="0" w:lastRow="0" w:noHBand="0" w:noVBand="1" w:val="04A0"/>
      </w:tblPr>
      <w:tblGrid>
        <w:gridCol w:w="9412"/>
      </w:tblGrid>
      <w:tr>
        <w:tc>
          <w:tcPr>
            <w:tcW w:type="dxa" w:w="9412"/>
            <w:shd w:val="clear" w:color="auto" w:fill="f8f8f8"/>
          </w:tcPr>
          <w:p>
            <w:pPr>
              <w:spacing w:before="60" w:after="60"/>
            </w:pPr>
            <w:r>
              <w:rPr>
                <w:rFonts w:ascii="Arial" w:hAnsi="Arial"/>
                <w:b w:val="0"/>
                <w:i w:val="0"/>
                <w:color w:val="555555"/>
                <w:sz w:val="17"/>
              </w:rPr>
              <w:t>NOTE ON ENACTED LEGISLATION: The most recent laws published in the Official Gazette through the close of this reporting period remain dated 26 May 2026 (Law No. 415-VIIQD — Amendments to the Law on Citizens' Appeals). No new laws or parliamentary decrees were enacted during the week of 13–20 June. The bills listed above are at the discussion stage and have not yet been adopted.</w:t>
            </w:r>
          </w:p>
        </w:tc>
      </w:tr>
    </w:tbl>
    <w:p/>
    <w:p>
      <w:pPr>
        <w:spacing w:before="160" w:after="60"/>
        <w:pBdr>
          <w:bottom w:val="single" w:sz="4" w:space="4" w:color="cccccc"/>
        </w:pBdr>
        <w:pBdr>
          <w:top w:val="single" w:sz="12" w:space="4" w:color="1a1a1a"/>
        </w:pBdr>
      </w:pPr>
      <w:r>
        <w:rPr>
          <w:rFonts w:ascii="Arial" w:hAnsi="Arial"/>
          <w:color w:val="888888"/>
          <w:sz w:val="14"/>
        </w:rPr>
        <w:t xml:space="preserve">İQTISADI KABINET / NAZIRLƏR KABINETI   </w:t>
      </w:r>
      <w:r>
        <w:rPr>
          <w:rFonts w:ascii="Georgia" w:hAnsi="Georgia"/>
          <w:b/>
          <w:color w:val="1A1A1A"/>
          <w:sz w:val="30"/>
        </w:rPr>
        <w:t>Cabinet of Ministers</w:t>
      </w:r>
      <w:r>
        <w:rPr>
          <w:rFonts w:ascii="Arial" w:hAnsi="Arial"/>
          <w:i/>
          <w:color w:val="888888"/>
          <w:sz w:val="16"/>
        </w:rPr>
        <w:t xml:space="preserve">   Decisions &amp; Orders — 16–19 June 2026</w:t>
      </w:r>
    </w:p>
    <w:p>
      <w:pPr>
        <w:spacing w:before="40" w:after="80"/>
      </w:pPr>
      <w:r>
        <w:rPr>
          <w:rFonts w:ascii="Arial" w:hAnsi="Arial"/>
          <w:b w:val="0"/>
          <w:i w:val="0"/>
          <w:color w:val="555555"/>
          <w:sz w:val="18"/>
        </w:rPr>
        <w:t xml:space="preserve">The Cabinet of Ministers issued </w:t>
      </w:r>
      <w:r>
        <w:rPr>
          <w:rFonts w:ascii="Arial" w:hAnsi="Arial"/>
          <w:b/>
          <w:color w:val="555555"/>
          <w:sz w:val="18"/>
        </w:rPr>
        <w:t>six Decisions</w:t>
      </w:r>
      <w:r>
        <w:rPr>
          <w:rFonts w:ascii="Arial" w:hAnsi="Arial"/>
          <w:b w:val="0"/>
          <w:i w:val="0"/>
          <w:color w:val="555555"/>
          <w:sz w:val="18"/>
        </w:rPr>
        <w:t xml:space="preserve"> and </w:t>
      </w:r>
      <w:r>
        <w:rPr>
          <w:rFonts w:ascii="Arial" w:hAnsi="Arial"/>
          <w:b/>
          <w:color w:val="555555"/>
          <w:sz w:val="18"/>
        </w:rPr>
        <w:t>two Orders</w:t>
      </w:r>
      <w:r>
        <w:rPr>
          <w:rFonts w:ascii="Arial" w:hAnsi="Arial"/>
          <w:b w:val="0"/>
          <w:i w:val="0"/>
          <w:color w:val="555555"/>
          <w:sz w:val="18"/>
        </w:rPr>
        <w:t xml:space="preserve"> during the reporting period, concentrated on two legislative sessions: a cluster of three instruments on 16 June addressing digital governance, energy grid regulation, and civil defence; and a further five instruments on 19 June advancing renewable energy policy and water resource management.</w:t>
      </w:r>
    </w:p>
    <w:p>
      <w:pPr>
        <w:spacing w:before="80" w:after="40"/>
        <w:pBdr>
          <w:bottom w:val="single" w:sz="4" w:space="4" w:color="cccccc"/>
        </w:pBdr>
      </w:pPr>
      <w:r>
        <w:rPr>
          <w:rFonts w:ascii="Arial" w:hAnsi="Arial"/>
          <w:b w:val="0"/>
          <w:i w:val="0"/>
          <w:color w:val="555555"/>
          <w:sz w:val="16"/>
        </w:rPr>
        <w:t>DECISIONS (QƏRARLAR)</w:t>
      </w:r>
    </w:p>
    <w:p>
      <w:pPr>
        <w:spacing w:before="60" w:after="20"/>
      </w:pPr>
      <w:r>
        <w:rPr>
          <w:rFonts w:ascii="Arial" w:hAnsi="Arial"/>
          <w:b/>
          <w:color w:val="2C3E50"/>
          <w:sz w:val="13"/>
        </w:rPr>
        <w:t>[DECISION]</w:t>
      </w:r>
      <w:r>
        <w:rPr>
          <w:rFonts w:ascii="Arial" w:hAnsi="Arial"/>
          <w:color w:val="888888"/>
          <w:sz w:val="15"/>
        </w:rPr>
        <w:t xml:space="preserve">  No. 181</w:t>
      </w:r>
      <w:r>
        <w:rPr>
          <w:rFonts w:ascii="Arial" w:hAnsi="Arial"/>
          <w:color w:val="888888"/>
          <w:sz w:val="15"/>
        </w:rPr>
        <w:t xml:space="preserve">   16 Jun 2026</w:t>
      </w:r>
    </w:p>
    <w:p>
      <w:pPr>
        <w:spacing w:before="0" w:after="20"/>
      </w:pPr>
      <w:r>
        <w:rPr>
          <w:rFonts w:ascii="Georgia" w:hAnsi="Georgia"/>
          <w:b/>
          <w:color w:val="1A1A1A"/>
          <w:sz w:val="20"/>
        </w:rPr>
        <w:t>Electricity Grid Operational Guidelines — Amendments</w:t>
      </w:r>
    </w:p>
    <w:p>
      <w:pPr>
        <w:spacing w:before="0" w:after="80"/>
        <w:pBdr>
          <w:bottom w:val="single" w:sz="2" w:space="4" w:color="d0d0d0"/>
        </w:pBdr>
      </w:pPr>
      <w:r>
        <w:rPr>
          <w:rFonts w:ascii="Arial" w:hAnsi="Arial"/>
          <w:b w:val="0"/>
          <w:i w:val="0"/>
          <w:color w:val="333333"/>
          <w:sz w:val="18"/>
        </w:rPr>
        <w:t>Modifies the existing regulatory framework governing the technical operation of the electricity transmission and distribution grid. May affect electricity suppliers, large consumers, and grid operators.</w:t>
      </w:r>
    </w:p>
    <w:p>
      <w:pPr>
        <w:spacing w:before="60" w:after="20"/>
      </w:pPr>
      <w:r>
        <w:rPr>
          <w:rFonts w:ascii="Arial" w:hAnsi="Arial"/>
          <w:b/>
          <w:color w:val="2C3E50"/>
          <w:sz w:val="13"/>
        </w:rPr>
        <w:t>[DECISION]</w:t>
      </w:r>
      <w:r>
        <w:rPr>
          <w:rFonts w:ascii="Arial" w:hAnsi="Arial"/>
          <w:color w:val="888888"/>
          <w:sz w:val="15"/>
        </w:rPr>
        <w:t xml:space="preserve">  No. 182</w:t>
      </w:r>
      <w:r>
        <w:rPr>
          <w:rFonts w:ascii="Arial" w:hAnsi="Arial"/>
          <w:color w:val="888888"/>
          <w:sz w:val="15"/>
        </w:rPr>
        <w:t xml:space="preserve">   16 Jun 2026</w:t>
      </w:r>
    </w:p>
    <w:p>
      <w:pPr>
        <w:spacing w:before="0" w:after="20"/>
      </w:pPr>
      <w:r>
        <w:rPr>
          <w:rFonts w:ascii="Georgia" w:hAnsi="Georgia"/>
          <w:b/>
          <w:color w:val="1A1A1A"/>
          <w:sz w:val="20"/>
        </w:rPr>
        <w:t>Electronic State Services Registry — Updated Regulations</w:t>
      </w:r>
    </w:p>
    <w:p>
      <w:pPr>
        <w:spacing w:before="0" w:after="80"/>
        <w:pBdr>
          <w:bottom w:val="single" w:sz="2" w:space="4" w:color="d0d0d0"/>
        </w:pBdr>
      </w:pPr>
      <w:r>
        <w:rPr>
          <w:rFonts w:ascii="Arial" w:hAnsi="Arial"/>
          <w:b w:val="0"/>
          <w:i w:val="0"/>
          <w:color w:val="333333"/>
          <w:sz w:val="18"/>
        </w:rPr>
        <w:t>Revises regulations governing the official registry of electronic state services and e-service delivery standards. Advances the government's digital transformation agenda for citizen-facing services.</w:t>
      </w:r>
    </w:p>
    <w:p>
      <w:pPr>
        <w:spacing w:before="60" w:after="20"/>
      </w:pPr>
      <w:r>
        <w:rPr>
          <w:rFonts w:ascii="Arial" w:hAnsi="Arial"/>
          <w:b/>
          <w:color w:val="2C3E50"/>
          <w:sz w:val="13"/>
        </w:rPr>
        <w:t>[DECISION]</w:t>
      </w:r>
      <w:r>
        <w:rPr>
          <w:rFonts w:ascii="Arial" w:hAnsi="Arial"/>
          <w:color w:val="888888"/>
          <w:sz w:val="15"/>
        </w:rPr>
        <w:t xml:space="preserve">  No. 183</w:t>
      </w:r>
      <w:r>
        <w:rPr>
          <w:rFonts w:ascii="Arial" w:hAnsi="Arial"/>
          <w:color w:val="888888"/>
          <w:sz w:val="15"/>
        </w:rPr>
        <w:t xml:space="preserve">   16 Jun 2026</w:t>
      </w:r>
    </w:p>
    <w:p>
      <w:pPr>
        <w:spacing w:before="0" w:after="20"/>
      </w:pPr>
      <w:r>
        <w:rPr>
          <w:rFonts w:ascii="Georgia" w:hAnsi="Georgia"/>
          <w:b/>
          <w:color w:val="1A1A1A"/>
          <w:sz w:val="20"/>
        </w:rPr>
        <w:t>Civil Defence Organisation for Railway Transport</w:t>
      </w:r>
    </w:p>
    <w:p>
      <w:pPr>
        <w:spacing w:before="0" w:after="80"/>
        <w:pBdr>
          <w:bottom w:val="single" w:sz="2" w:space="4" w:color="d0d0d0"/>
        </w:pBdr>
      </w:pPr>
      <w:r>
        <w:rPr>
          <w:rFonts w:ascii="Arial" w:hAnsi="Arial"/>
          <w:b w:val="0"/>
          <w:i w:val="0"/>
          <w:color w:val="333333"/>
          <w:sz w:val="18"/>
        </w:rPr>
        <w:t>Establishes civil defence organisational procedures applicable to railway transport operations. Part of a broader effort to integrate critical infrastructure into Azerbaijan's emergency preparedness framework.</w:t>
      </w:r>
    </w:p>
    <w:p>
      <w:pPr>
        <w:spacing w:before="60" w:after="20"/>
      </w:pPr>
      <w:r>
        <w:rPr>
          <w:rFonts w:ascii="Arial" w:hAnsi="Arial"/>
          <w:b/>
          <w:color w:val="2C3E50"/>
          <w:sz w:val="13"/>
        </w:rPr>
        <w:t>[DECISION]</w:t>
      </w:r>
      <w:r>
        <w:rPr>
          <w:rFonts w:ascii="Arial" w:hAnsi="Arial"/>
          <w:color w:val="888888"/>
          <w:sz w:val="15"/>
        </w:rPr>
        <w:t xml:space="preserve">  No. 184</w:t>
      </w:r>
      <w:r>
        <w:rPr>
          <w:rFonts w:ascii="Arial" w:hAnsi="Arial"/>
          <w:color w:val="888888"/>
          <w:sz w:val="15"/>
        </w:rPr>
        <w:t xml:space="preserve">   19 Jun 2026</w:t>
      </w:r>
    </w:p>
    <w:p>
      <w:pPr>
        <w:spacing w:before="0" w:after="20"/>
      </w:pPr>
      <w:r>
        <w:rPr>
          <w:rFonts w:ascii="Georgia" w:hAnsi="Georgia"/>
          <w:b/>
          <w:color w:val="1A1A1A"/>
          <w:sz w:val="20"/>
        </w:rPr>
        <w:t>Charter Documents — Two State Water Management Entities</w:t>
      </w:r>
    </w:p>
    <w:p>
      <w:pPr>
        <w:spacing w:before="0" w:after="80"/>
        <w:pBdr>
          <w:bottom w:val="single" w:sz="2" w:space="4" w:color="d0d0d0"/>
        </w:pBdr>
      </w:pPr>
      <w:r>
        <w:rPr>
          <w:rFonts w:ascii="Arial" w:hAnsi="Arial"/>
          <w:b w:val="0"/>
          <w:i w:val="0"/>
          <w:color w:val="333333"/>
          <w:sz w:val="18"/>
        </w:rPr>
        <w:t>Approves the founding charter instruments for two new state entities under Azerbaijan's Water Resources Agency. Establishes institutional structures for water resource management, potentially linked to irrigated agriculture or the liberated territories.</w:t>
      </w:r>
    </w:p>
    <w:p>
      <w:pPr>
        <w:spacing w:before="60" w:after="20"/>
      </w:pPr>
      <w:r>
        <w:rPr>
          <w:rFonts w:ascii="Arial" w:hAnsi="Arial"/>
          <w:b/>
          <w:color w:val="2C3E50"/>
          <w:sz w:val="13"/>
        </w:rPr>
        <w:t>[DECISION]</w:t>
      </w:r>
      <w:r>
        <w:rPr>
          <w:rFonts w:ascii="Arial" w:hAnsi="Arial"/>
          <w:color w:val="888888"/>
          <w:sz w:val="15"/>
        </w:rPr>
        <w:t xml:space="preserve">  No. 185</w:t>
      </w:r>
      <w:r>
        <w:rPr>
          <w:rFonts w:ascii="Arial" w:hAnsi="Arial"/>
          <w:color w:val="888888"/>
          <w:sz w:val="15"/>
        </w:rPr>
        <w:t xml:space="preserve">   19 Jun 2026</w:t>
      </w:r>
    </w:p>
    <w:p>
      <w:pPr>
        <w:spacing w:before="0" w:after="20"/>
      </w:pPr>
      <w:r>
        <w:rPr>
          <w:rFonts w:ascii="Georgia" w:hAnsi="Georgia"/>
          <w:b/>
          <w:color w:val="1A1A1A"/>
          <w:sz w:val="20"/>
        </w:rPr>
        <w:t>Energy Balance Preparation &amp; Monitoring — Amended Procedures</w:t>
      </w:r>
    </w:p>
    <w:p>
      <w:pPr>
        <w:spacing w:before="0" w:after="80"/>
        <w:pBdr>
          <w:bottom w:val="single" w:sz="2" w:space="4" w:color="d0d0d0"/>
        </w:pBdr>
      </w:pPr>
      <w:r>
        <w:rPr>
          <w:rFonts w:ascii="Arial" w:hAnsi="Arial"/>
          <w:b w:val="0"/>
          <w:i w:val="0"/>
          <w:color w:val="333333"/>
          <w:sz w:val="18"/>
        </w:rPr>
        <w:t>Amends the procedural rules for preparing and monitoring the national energy balance. Affects how energy supply and demand data is collected, reported, and used for planning purposes.</w:t>
      </w:r>
    </w:p>
    <w:p>
      <w:pPr>
        <w:spacing w:before="60" w:after="20"/>
      </w:pPr>
      <w:r>
        <w:rPr>
          <w:rFonts w:ascii="Arial" w:hAnsi="Arial"/>
          <w:b/>
          <w:color w:val="2C3E50"/>
          <w:sz w:val="13"/>
        </w:rPr>
        <w:t>[DECISION]</w:t>
      </w:r>
      <w:r>
        <w:rPr>
          <w:rFonts w:ascii="Arial" w:hAnsi="Arial"/>
          <w:color w:val="888888"/>
          <w:sz w:val="15"/>
        </w:rPr>
        <w:t xml:space="preserve">  No. 186</w:t>
      </w:r>
      <w:r>
        <w:rPr>
          <w:rFonts w:ascii="Arial" w:hAnsi="Arial"/>
          <w:color w:val="888888"/>
          <w:sz w:val="15"/>
        </w:rPr>
        <w:t xml:space="preserve">   19 Jun 2026</w:t>
      </w:r>
    </w:p>
    <w:p>
      <w:pPr>
        <w:spacing w:before="0" w:after="20"/>
      </w:pPr>
      <w:r>
        <w:rPr>
          <w:rFonts w:ascii="Georgia" w:hAnsi="Georgia"/>
          <w:b/>
          <w:color w:val="1A1A1A"/>
          <w:sz w:val="20"/>
        </w:rPr>
        <w:t>Solar Power Station Construction — Extended Permission Duration</w:t>
      </w:r>
    </w:p>
    <w:p>
      <w:pPr>
        <w:spacing w:before="0" w:after="80"/>
        <w:pBdr>
          <w:bottom w:val="single" w:sz="2" w:space="4" w:color="d0d0d0"/>
        </w:pBdr>
      </w:pPr>
      <w:r>
        <w:rPr>
          <w:rFonts w:ascii="Arial" w:hAnsi="Arial"/>
          <w:b w:val="0"/>
          <w:i w:val="0"/>
          <w:color w:val="333333"/>
          <w:sz w:val="18"/>
        </w:rPr>
        <w:t>Extends the validity period of permissions granted for constructing solar power stations within designated renewable energy source areas, easing timelines for investors in the solar sector.</w:t>
      </w:r>
    </w:p>
    <w:p>
      <w:pPr>
        <w:spacing w:before="100" w:after="40"/>
        <w:pBdr>
          <w:bottom w:val="single" w:sz="4" w:space="4" w:color="cccccc"/>
        </w:pBdr>
      </w:pPr>
      <w:r>
        <w:rPr>
          <w:rFonts w:ascii="Arial" w:hAnsi="Arial"/>
          <w:b w:val="0"/>
          <w:i w:val="0"/>
          <w:color w:val="555555"/>
          <w:sz w:val="16"/>
        </w:rPr>
        <w:t>ORDERS (SƏRƏNCAMLAR)</w:t>
      </w:r>
    </w:p>
    <w:p>
      <w:pPr>
        <w:spacing w:before="60" w:after="20"/>
      </w:pPr>
      <w:r>
        <w:rPr>
          <w:rFonts w:ascii="Arial" w:hAnsi="Arial"/>
          <w:b/>
          <w:color w:val="4A4A4A"/>
          <w:sz w:val="13"/>
        </w:rPr>
        <w:t>[ORDER]</w:t>
      </w:r>
      <w:r>
        <w:rPr>
          <w:rFonts w:ascii="Arial" w:hAnsi="Arial"/>
          <w:color w:val="888888"/>
          <w:sz w:val="15"/>
        </w:rPr>
        <w:t xml:space="preserve">  No. 419s</w:t>
      </w:r>
      <w:r>
        <w:rPr>
          <w:rFonts w:ascii="Arial" w:hAnsi="Arial"/>
          <w:color w:val="888888"/>
          <w:sz w:val="15"/>
        </w:rPr>
        <w:t xml:space="preserve">   19 Jun 2026</w:t>
      </w:r>
    </w:p>
    <w:p>
      <w:pPr>
        <w:spacing w:before="0" w:after="20"/>
      </w:pPr>
      <w:r>
        <w:rPr>
          <w:rFonts w:ascii="Georgia" w:hAnsi="Georgia"/>
          <w:b/>
          <w:color w:val="1A1A1A"/>
          <w:sz w:val="20"/>
        </w:rPr>
        <w:t>Airport Management Operational Standards — Enforcement</w:t>
      </w:r>
    </w:p>
    <w:p>
      <w:pPr>
        <w:spacing w:before="0" w:after="80"/>
        <w:pBdr>
          <w:bottom w:val="single" w:sz="2" w:space="4" w:color="d0d0d0"/>
        </w:pBdr>
      </w:pPr>
      <w:r>
        <w:rPr>
          <w:rFonts w:ascii="Arial" w:hAnsi="Arial"/>
          <w:b w:val="0"/>
          <w:i w:val="0"/>
          <w:color w:val="333333"/>
          <w:sz w:val="18"/>
        </w:rPr>
        <w:t>Directs implementation of airport management operational standards approved by a prior presidential directive, translating policy into administrative action for airport authorities and relevant ministries.</w:t>
      </w:r>
    </w:p>
    <w:p>
      <w:pPr>
        <w:spacing w:before="60" w:after="20"/>
      </w:pPr>
      <w:r>
        <w:rPr>
          <w:rFonts w:ascii="Arial" w:hAnsi="Arial"/>
          <w:b/>
          <w:color w:val="4A4A4A"/>
          <w:sz w:val="13"/>
        </w:rPr>
        <w:t>[ORDER]</w:t>
      </w:r>
      <w:r>
        <w:rPr>
          <w:rFonts w:ascii="Arial" w:hAnsi="Arial"/>
          <w:color w:val="888888"/>
          <w:sz w:val="15"/>
        </w:rPr>
        <w:t xml:space="preserve">  No. 420s</w:t>
      </w:r>
      <w:r>
        <w:rPr>
          <w:rFonts w:ascii="Arial" w:hAnsi="Arial"/>
          <w:color w:val="888888"/>
          <w:sz w:val="15"/>
        </w:rPr>
        <w:t xml:space="preserve">   19 Jun 2026</w:t>
      </w:r>
    </w:p>
    <w:p>
      <w:pPr>
        <w:spacing w:before="0" w:after="20"/>
      </w:pPr>
      <w:r>
        <w:rPr>
          <w:rFonts w:ascii="Georgia" w:hAnsi="Georgia"/>
          <w:b/>
          <w:color w:val="1A1A1A"/>
          <w:sz w:val="20"/>
        </w:rPr>
        <w:t>Citizens' Petitions &amp; Government Office Protocols — Implementation</w:t>
      </w:r>
    </w:p>
    <w:p>
      <w:pPr>
        <w:spacing w:before="0" w:after="80"/>
        <w:pBdr>
          <w:bottom w:val="single" w:sz="2" w:space="4" w:color="d0d0d0"/>
        </w:pBdr>
      </w:pPr>
      <w:r>
        <w:rPr>
          <w:rFonts w:ascii="Arial" w:hAnsi="Arial"/>
          <w:b w:val="0"/>
          <w:i w:val="0"/>
          <w:color w:val="333333"/>
          <w:sz w:val="18"/>
        </w:rPr>
        <w:t>Operationalises a presidential decree on citizen petition procedures and government office conduct protocols, establishing implementation measures for responsible agencies. Relevant for administrative law practitioners.</w:t>
      </w:r>
    </w:p>
    <w:p>
      <w:pPr>
        <w:spacing w:before="160" w:after="60"/>
        <w:pBdr>
          <w:bottom w:val="single" w:sz="4" w:space="4" w:color="cccccc"/>
        </w:pBdr>
        <w:pBdr>
          <w:top w:val="single" w:sz="12" w:space="4" w:color="1a1a1a"/>
        </w:pBdr>
      </w:pPr>
      <w:r>
        <w:rPr>
          <w:rFonts w:ascii="Arial" w:hAnsi="Arial"/>
          <w:color w:val="888888"/>
          <w:sz w:val="14"/>
        </w:rPr>
        <w:t xml:space="preserve">ADMINISTRATION OF THE PRESIDENT   </w:t>
      </w:r>
      <w:r>
        <w:rPr>
          <w:rFonts w:ascii="Georgia" w:hAnsi="Georgia"/>
          <w:b/>
          <w:color w:val="1A1A1A"/>
          <w:sz w:val="30"/>
        </w:rPr>
        <w:t>Presidential Office</w:t>
      </w:r>
      <w:r>
        <w:rPr>
          <w:rFonts w:ascii="Arial" w:hAnsi="Arial"/>
          <w:i/>
          <w:color w:val="888888"/>
          <w:sz w:val="16"/>
        </w:rPr>
        <w:t xml:space="preserve">   Decrees, Orders, Addresses &amp; Correspondence — 13–18 June 2026</w:t>
      </w:r>
    </w:p>
    <w:p>
      <w:pPr>
        <w:spacing w:before="40" w:after="80"/>
      </w:pPr>
      <w:r>
        <w:rPr>
          <w:rFonts w:ascii="Arial" w:hAnsi="Arial"/>
          <w:b w:val="0"/>
          <w:i w:val="0"/>
          <w:color w:val="555555"/>
          <w:sz w:val="18"/>
        </w:rPr>
        <w:t>Direct extraction of the e-Qanun official register this week surfaced presidential acts not visible on the president.az portal: one Decree (fərman) and two Orders (sərəncamlar) bearing adoption dates within the reporting period. The Decree of 16 June introduces additional measures to support non-oil/gas exports — a substantive economic-policy instrument. The presidential record also includes two substantive addresses at international forums hosted in Azerbaijan and two diplomatic letters to foreign heads of state. The two summit addresses — on artificial intelligence and human rights, and on South Caucasus peacebuilding — are of particular geopolitical significance.</w:t>
      </w:r>
    </w:p>
    <w:p>
      <w:pPr>
        <w:spacing w:before="60" w:after="40"/>
        <w:pBdr>
          <w:bottom w:val="single" w:sz="4" w:space="4" w:color="cccccc"/>
        </w:pBdr>
      </w:pPr>
      <w:r>
        <w:rPr>
          <w:rFonts w:ascii="Arial" w:hAnsi="Arial"/>
          <w:b w:val="0"/>
          <w:i w:val="0"/>
          <w:color w:val="555555"/>
          <w:sz w:val="16"/>
        </w:rPr>
        <w:t>DECREES &amp; ORDERS  — via e-Qanun register (e-qanun.az)</w:t>
      </w:r>
    </w:p>
    <w:p>
      <w:pPr>
        <w:spacing w:before="60" w:after="20"/>
      </w:pPr>
      <w:r>
        <w:rPr>
          <w:rFonts w:ascii="Arial" w:hAnsi="Arial"/>
          <w:b/>
          <w:color w:val="2C3E50"/>
          <w:sz w:val="13"/>
        </w:rPr>
        <w:t>[DECREE]</w:t>
      </w:r>
      <w:r>
        <w:rPr>
          <w:rFonts w:ascii="Arial" w:hAnsi="Arial"/>
          <w:color w:val="888888"/>
          <w:sz w:val="15"/>
        </w:rPr>
        <w:t xml:space="preserve">  framework/62008</w:t>
      </w:r>
      <w:r>
        <w:rPr>
          <w:rFonts w:ascii="Arial" w:hAnsi="Arial"/>
          <w:color w:val="888888"/>
          <w:sz w:val="15"/>
        </w:rPr>
        <w:t xml:space="preserve">   16 Jun 2026</w:t>
      </w:r>
    </w:p>
    <w:p>
      <w:pPr>
        <w:spacing w:before="0" w:after="20"/>
      </w:pPr>
      <w:r>
        <w:rPr>
          <w:rFonts w:ascii="Georgia" w:hAnsi="Georgia"/>
          <w:b/>
          <w:color w:val="1A1A1A"/>
          <w:sz w:val="20"/>
        </w:rPr>
        <w:t>Additional Measures to Support the Export of Non-Oil/Gas Goods</w:t>
      </w:r>
    </w:p>
    <w:p>
      <w:pPr>
        <w:spacing w:before="0" w:after="80"/>
        <w:pBdr>
          <w:bottom w:val="single" w:sz="2" w:space="4" w:color="d0d0d0"/>
        </w:pBdr>
      </w:pPr>
      <w:r>
        <w:rPr>
          <w:rFonts w:ascii="Arial" w:hAnsi="Arial"/>
          <w:b w:val="0"/>
          <w:i w:val="0"/>
          <w:color w:val="333333"/>
          <w:sz w:val="18"/>
        </w:rPr>
        <w:t>A presidential decree introducing further measures to promote and support the export of non-oil-and-gas products — central to Azerbaijan's economic diversification agenda. In force from 16 June 2026.</w:t>
      </w:r>
    </w:p>
    <w:p>
      <w:pPr>
        <w:spacing w:before="60" w:after="20"/>
      </w:pPr>
      <w:r>
        <w:rPr>
          <w:rFonts w:ascii="Arial" w:hAnsi="Arial"/>
          <w:b/>
          <w:color w:val="4A4A4A"/>
          <w:sz w:val="13"/>
        </w:rPr>
        <w:t>[ORDER]</w:t>
      </w:r>
      <w:r>
        <w:rPr>
          <w:rFonts w:ascii="Arial" w:hAnsi="Arial"/>
          <w:color w:val="888888"/>
          <w:sz w:val="15"/>
        </w:rPr>
        <w:t xml:space="preserve">  framework/62010</w:t>
      </w:r>
      <w:r>
        <w:rPr>
          <w:rFonts w:ascii="Arial" w:hAnsi="Arial"/>
          <w:color w:val="888888"/>
          <w:sz w:val="15"/>
        </w:rPr>
        <w:t xml:space="preserve">   17 Jun 2026</w:t>
      </w:r>
    </w:p>
    <w:p>
      <w:pPr>
        <w:spacing w:before="0" w:after="20"/>
      </w:pPr>
      <w:r>
        <w:rPr>
          <w:rFonts w:ascii="Georgia" w:hAnsi="Georgia"/>
          <w:b/>
          <w:color w:val="1A1A1A"/>
          <w:sz w:val="20"/>
        </w:rPr>
        <w:t>Conferral of the "Dostluq" (Friendship) Order on Mohammed Suleyman Al-Jasir</w:t>
      </w:r>
    </w:p>
    <w:p>
      <w:pPr>
        <w:spacing w:before="0" w:after="80"/>
        <w:pBdr>
          <w:bottom w:val="single" w:sz="2" w:space="4" w:color="d0d0d0"/>
        </w:pBdr>
      </w:pPr>
      <w:r>
        <w:rPr>
          <w:rFonts w:ascii="Arial" w:hAnsi="Arial"/>
          <w:b w:val="0"/>
          <w:i w:val="0"/>
          <w:color w:val="333333"/>
          <w:sz w:val="18"/>
        </w:rPr>
        <w:t>Presidential order awarding the "Dostluq" Order to Mohammed Suleyman Al-Jasir, in recognition of contributions to bilateral / multilateral cooperation.</w:t>
      </w:r>
    </w:p>
    <w:p>
      <w:pPr>
        <w:spacing w:before="60" w:after="20"/>
      </w:pPr>
      <w:r>
        <w:rPr>
          <w:rFonts w:ascii="Arial" w:hAnsi="Arial"/>
          <w:b/>
          <w:color w:val="4A4A4A"/>
          <w:sz w:val="13"/>
        </w:rPr>
        <w:t>[ORDER]</w:t>
      </w:r>
      <w:r>
        <w:rPr>
          <w:rFonts w:ascii="Arial" w:hAnsi="Arial"/>
          <w:color w:val="888888"/>
          <w:sz w:val="15"/>
        </w:rPr>
        <w:t xml:space="preserve">  framework/62009</w:t>
      </w:r>
      <w:r>
        <w:rPr>
          <w:rFonts w:ascii="Arial" w:hAnsi="Arial"/>
          <w:color w:val="888888"/>
          <w:sz w:val="15"/>
        </w:rPr>
        <w:t xml:space="preserve">   17 Jun 2026</w:t>
      </w:r>
    </w:p>
    <w:p>
      <w:pPr>
        <w:spacing w:before="0" w:after="20"/>
      </w:pPr>
      <w:r>
        <w:rPr>
          <w:rFonts w:ascii="Georgia" w:hAnsi="Georgia"/>
          <w:b/>
          <w:color w:val="1A1A1A"/>
          <w:sz w:val="20"/>
        </w:rPr>
        <w:t>State Decorations for Azerbaijani Healthcare Workers</w:t>
      </w:r>
    </w:p>
    <w:p>
      <w:pPr>
        <w:spacing w:before="0" w:after="80"/>
        <w:pBdr>
          <w:bottom w:val="single" w:sz="2" w:space="4" w:color="d0d0d0"/>
        </w:pBdr>
      </w:pPr>
      <w:r>
        <w:rPr>
          <w:rFonts w:ascii="Arial" w:hAnsi="Arial"/>
          <w:b w:val="0"/>
          <w:i w:val="0"/>
          <w:color w:val="333333"/>
          <w:sz w:val="18"/>
        </w:rPr>
        <w:t>Presidential order conferring state awards on healthcare workers of the Republic of Azerbaijan, customarily issued around Medical Workers' Day.</w:t>
      </w:r>
    </w:p>
    <w:p>
      <w:pPr>
        <w:spacing w:before="80" w:after="0"/>
      </w:pPr>
    </w:p>
    <w:p>
      <w:pPr>
        <w:spacing w:before="60" w:after="40"/>
        <w:pBdr>
          <w:bottom w:val="single" w:sz="4" w:space="4" w:color="cccccc"/>
        </w:pBdr>
      </w:pPr>
      <w:r>
        <w:rPr>
          <w:rFonts w:ascii="Arial" w:hAnsi="Arial"/>
          <w:b w:val="0"/>
          <w:i w:val="0"/>
          <w:color w:val="555555"/>
          <w:sz w:val="16"/>
        </w:rPr>
        <w:t>SUMMIT ADDRESSES</w:t>
      </w:r>
    </w:p>
    <w:p>
      <w:pPr>
        <w:spacing w:before="60" w:after="20"/>
      </w:pPr>
      <w:r>
        <w:rPr>
          <w:rFonts w:ascii="Arial" w:hAnsi="Arial"/>
          <w:b/>
          <w:color w:val="5A3A1A"/>
          <w:sz w:val="13"/>
        </w:rPr>
        <w:t>[ADDRESS]</w:t>
      </w:r>
      <w:r>
        <w:rPr>
          <w:rFonts w:ascii="Arial" w:hAnsi="Arial"/>
          <w:color w:val="888888"/>
          <w:sz w:val="15"/>
        </w:rPr>
        <w:t xml:space="preserve">   18 Jun 2026</w:t>
      </w:r>
    </w:p>
    <w:p>
      <w:pPr>
        <w:spacing w:before="0" w:after="20"/>
      </w:pPr>
      <w:r>
        <w:rPr>
          <w:rFonts w:ascii="Georgia" w:hAnsi="Georgia"/>
          <w:b/>
          <w:color w:val="1A1A1A"/>
          <w:sz w:val="20"/>
        </w:rPr>
        <w:t>Opening Address — International Baku Ombudsmen Summit</w:t>
      </w:r>
    </w:p>
    <w:p>
      <w:pPr>
        <w:spacing w:before="0" w:after="80"/>
        <w:pBdr>
          <w:bottom w:val="single" w:sz="2" w:space="4" w:color="d0d0d0"/>
        </w:pBdr>
      </w:pPr>
      <w:r>
        <w:rPr>
          <w:rFonts w:ascii="Arial" w:hAnsi="Arial"/>
          <w:b w:val="0"/>
          <w:i w:val="0"/>
          <w:color w:val="333333"/>
          <w:sz w:val="18"/>
        </w:rPr>
        <w:t>Remarks delivered at the International Baku Ombudsmen Summit on "Human Rights in the Age of Artificial Intelligence." The summit brought together ombudsmen and human rights institutions to discuss AI governance, algorithmic accountability, and fundamental rights protection. Azerbaijan's hosting of this forum reinforces its role as a venue for multilateral human rights dialogue.</w:t>
      </w:r>
    </w:p>
    <w:p>
      <w:pPr>
        <w:spacing w:before="60" w:after="20"/>
      </w:pPr>
      <w:r>
        <w:rPr>
          <w:rFonts w:ascii="Arial" w:hAnsi="Arial"/>
          <w:b/>
          <w:color w:val="5A3A1A"/>
          <w:sz w:val="13"/>
        </w:rPr>
        <w:t>[ADDRESS]</w:t>
      </w:r>
      <w:r>
        <w:rPr>
          <w:rFonts w:ascii="Arial" w:hAnsi="Arial"/>
          <w:color w:val="888888"/>
          <w:sz w:val="15"/>
        </w:rPr>
        <w:t xml:space="preserve">   15 Jun 2026</w:t>
      </w:r>
    </w:p>
    <w:p>
      <w:pPr>
        <w:spacing w:before="0" w:after="20"/>
      </w:pPr>
      <w:r>
        <w:rPr>
          <w:rFonts w:ascii="Georgia" w:hAnsi="Georgia"/>
          <w:b/>
          <w:color w:val="1A1A1A"/>
          <w:sz w:val="20"/>
        </w:rPr>
        <w:t>Welcome Address — Shusha Peacebuilding &amp; Regional Security Conference</w:t>
      </w:r>
    </w:p>
    <w:p>
      <w:pPr>
        <w:spacing w:before="0" w:after="80"/>
        <w:pBdr>
          <w:bottom w:val="single" w:sz="2" w:space="4" w:color="d0d0d0"/>
        </w:pBdr>
      </w:pPr>
      <w:r>
        <w:rPr>
          <w:rFonts w:ascii="Arial" w:hAnsi="Arial"/>
          <w:b w:val="0"/>
          <w:i w:val="0"/>
          <w:color w:val="333333"/>
          <w:sz w:val="18"/>
        </w:rPr>
        <w:t>Opening remarks at an international conference on regional security and South Caucasus peacebuilding, held in Shusha. The choice of Shusha — the cultural capital of Azerbaijan — as the venue is symbolically significant and underscores Azerbaijan's post-conflict statebuilding narrative.</w:t>
      </w:r>
    </w:p>
    <w:p>
      <w:pPr>
        <w:spacing w:before="100" w:after="40"/>
        <w:pBdr>
          <w:bottom w:val="single" w:sz="4" w:space="4" w:color="cccccc"/>
        </w:pBdr>
      </w:pPr>
      <w:r>
        <w:rPr>
          <w:rFonts w:ascii="Arial" w:hAnsi="Arial"/>
          <w:b w:val="0"/>
          <w:i w:val="0"/>
          <w:color w:val="555555"/>
          <w:sz w:val="16"/>
        </w:rPr>
        <w:t>DIPLOMATIC LETTERS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1a1a1a"/>
          </w:tcPr>
          <w:p>
            <w:r>
              <w:rPr>
                <w:rFonts w:ascii="Arial" w:hAnsi="Arial"/>
                <w:b/>
                <w:color w:val="FFFFFF"/>
                <w:sz w:val="14"/>
              </w:rPr>
              <w:t>DATE</w:t>
            </w:r>
          </w:p>
        </w:tc>
        <w:tc>
          <w:tcPr>
            <w:tcW w:type="dxa" w:w="1882"/>
            <w:shd w:val="clear" w:color="auto" w:fill="1a1a1a"/>
          </w:tcPr>
          <w:p>
            <w:r>
              <w:rPr>
                <w:rFonts w:ascii="Arial" w:hAnsi="Arial"/>
                <w:b/>
                <w:color w:val="FFFFFF"/>
                <w:sz w:val="14"/>
              </w:rPr>
              <w:t>DIRECTION</w:t>
            </w:r>
          </w:p>
        </w:tc>
        <w:tc>
          <w:tcPr>
            <w:tcW w:type="dxa" w:w="1882"/>
            <w:shd w:val="clear" w:color="auto" w:fill="1a1a1a"/>
          </w:tcPr>
          <w:p>
            <w:r>
              <w:rPr>
                <w:rFonts w:ascii="Arial" w:hAnsi="Arial"/>
                <w:b/>
                <w:color w:val="FFFFFF"/>
                <w:sz w:val="14"/>
              </w:rPr>
              <w:t>COUNTERPART</w:t>
            </w:r>
          </w:p>
        </w:tc>
        <w:tc>
          <w:tcPr>
            <w:tcW w:type="dxa" w:w="1882"/>
            <w:shd w:val="clear" w:color="auto" w:fill="1a1a1a"/>
          </w:tcPr>
          <w:p>
            <w:r>
              <w:rPr>
                <w:rFonts w:ascii="Arial" w:hAnsi="Arial"/>
                <w:b/>
                <w:color w:val="FFFFFF"/>
                <w:sz w:val="14"/>
              </w:rPr>
              <w:t>COUNTRY / OFFICE</w:t>
            </w:r>
          </w:p>
        </w:tc>
        <w:tc>
          <w:tcPr>
            <w:tcW w:type="dxa" w:w="1882"/>
            <w:shd w:val="clear" w:color="auto" w:fill="1a1a1a"/>
          </w:tcPr>
          <w:p>
            <w:r>
              <w:rPr>
                <w:rFonts w:ascii="Arial" w:hAnsi="Arial"/>
                <w:b/>
                <w:color w:val="FFFFFF"/>
                <w:sz w:val="14"/>
              </w:rPr>
              <w:t>OCCASION</w:t>
            </w:r>
          </w:p>
        </w:tc>
      </w:tr>
      <w:tr>
        <w:tc>
          <w:tcPr>
            <w:tcW w:type="dxa" w:w="1882"/>
          </w:tcPr>
          <w:p>
            <w:r>
              <w:rPr>
                <w:rFonts w:ascii="Arial" w:hAnsi="Arial"/>
                <w:b w:val="0"/>
                <w:i w:val="0"/>
                <w:sz w:val="17"/>
              </w:rPr>
              <w:t>14 Jun</w:t>
            </w:r>
          </w:p>
        </w:tc>
        <w:tc>
          <w:tcPr>
            <w:tcW w:type="dxa" w:w="1882"/>
          </w:tcPr>
          <w:p>
            <w:r>
              <w:rPr>
                <w:rFonts w:ascii="Arial" w:hAnsi="Arial"/>
                <w:b/>
                <w:color w:val="4A1A1A"/>
                <w:sz w:val="17"/>
              </w:rPr>
              <w:t>OUTBOUND</w:t>
            </w:r>
          </w:p>
        </w:tc>
        <w:tc>
          <w:tcPr>
            <w:tcW w:type="dxa" w:w="1882"/>
          </w:tcPr>
          <w:p>
            <w:r>
              <w:rPr>
                <w:rFonts w:ascii="Arial" w:hAnsi="Arial"/>
                <w:b w:val="0"/>
                <w:i w:val="0"/>
                <w:sz w:val="17"/>
              </w:rPr>
              <w:t>Donald J. Trump</w:t>
            </w:r>
          </w:p>
        </w:tc>
        <w:tc>
          <w:tcPr>
            <w:tcW w:type="dxa" w:w="1882"/>
          </w:tcPr>
          <w:p>
            <w:r>
              <w:rPr>
                <w:rFonts w:ascii="Arial" w:hAnsi="Arial"/>
                <w:b w:val="0"/>
                <w:i w:val="0"/>
                <w:sz w:val="17"/>
              </w:rPr>
              <w:t>President of the United States</w:t>
            </w:r>
          </w:p>
        </w:tc>
        <w:tc>
          <w:tcPr>
            <w:tcW w:type="dxa" w:w="1882"/>
          </w:tcPr>
          <w:p>
            <w:r>
              <w:rPr>
                <w:rFonts w:ascii="Arial" w:hAnsi="Arial"/>
                <w:b w:val="0"/>
                <w:i w:val="0"/>
                <w:sz w:val="17"/>
              </w:rPr>
              <w:t>80th Birthday Congratulations</w:t>
            </w:r>
          </w:p>
        </w:tc>
      </w:tr>
      <w:tr>
        <w:tc>
          <w:tcPr>
            <w:tcW w:type="dxa" w:w="1882"/>
          </w:tcPr>
          <w:p>
            <w:r>
              <w:rPr>
                <w:rFonts w:ascii="Arial" w:hAnsi="Arial"/>
                <w:b w:val="0"/>
                <w:i w:val="0"/>
                <w:sz w:val="17"/>
              </w:rPr>
              <w:t>13 Jun</w:t>
            </w:r>
          </w:p>
        </w:tc>
        <w:tc>
          <w:tcPr>
            <w:tcW w:type="dxa" w:w="1882"/>
          </w:tcPr>
          <w:p>
            <w:r>
              <w:rPr>
                <w:rFonts w:ascii="Arial" w:hAnsi="Arial"/>
                <w:b/>
                <w:color w:val="4A1A1A"/>
                <w:sz w:val="17"/>
              </w:rPr>
              <w:t>OUTBOUND</w:t>
            </w:r>
          </w:p>
        </w:tc>
        <w:tc>
          <w:tcPr>
            <w:tcW w:type="dxa" w:w="1882"/>
          </w:tcPr>
          <w:p>
            <w:r>
              <w:rPr>
                <w:rFonts w:ascii="Arial" w:hAnsi="Arial"/>
                <w:b w:val="0"/>
                <w:i w:val="0"/>
                <w:sz w:val="17"/>
              </w:rPr>
              <w:t>King Charles III</w:t>
            </w:r>
          </w:p>
        </w:tc>
        <w:tc>
          <w:tcPr>
            <w:tcW w:type="dxa" w:w="1882"/>
          </w:tcPr>
          <w:p>
            <w:r>
              <w:rPr>
                <w:rFonts w:ascii="Arial" w:hAnsi="Arial"/>
                <w:b w:val="0"/>
                <w:i w:val="0"/>
                <w:sz w:val="17"/>
              </w:rPr>
              <w:t>United Kingdom</w:t>
            </w:r>
          </w:p>
        </w:tc>
        <w:tc>
          <w:tcPr>
            <w:tcW w:type="dxa" w:w="1882"/>
          </w:tcPr>
          <w:p>
            <w:r>
              <w:rPr>
                <w:rFonts w:ascii="Arial" w:hAnsi="Arial"/>
                <w:b w:val="0"/>
                <w:i w:val="0"/>
                <w:sz w:val="17"/>
              </w:rPr>
              <w:t>National Holiday (Trooping the Colour)</w:t>
            </w:r>
          </w:p>
        </w:tc>
      </w:tr>
    </w:tbl>
    <w:p/>
    <w:tbl>
      <w:tblPr>
        <w:tblW w:type="auto" w:w="0"/>
        <w:jc w:val="center"/>
        <w:tblLook w:firstColumn="1" w:firstRow="1" w:lastColumn="0" w:lastRow="0" w:noHBand="0" w:noVBand="1" w:val="04A0"/>
      </w:tblPr>
      <w:tblGrid>
        <w:gridCol w:w="9412"/>
      </w:tblGrid>
      <w:tr>
        <w:tc>
          <w:tcPr>
            <w:tcW w:type="dxa" w:w="9412"/>
            <w:shd w:val="clear" w:color="auto" w:fill="f8f8f8"/>
          </w:tcPr>
          <w:p>
            <w:pPr>
              <w:spacing w:before="60" w:after="60"/>
            </w:pPr>
            <w:r>
              <w:rPr>
                <w:rFonts w:ascii="Arial" w:hAnsi="Arial"/>
                <w:b w:val="0"/>
                <w:i w:val="0"/>
                <w:color w:val="555555"/>
                <w:sz w:val="17"/>
              </w:rPr>
              <w:t>SOURCING NOTE: The president.az documents portal did not surface these decrees and orders during compilation; they were instead recovered directly from the e-Qanun official register API (see Section 5). Diplomatic letters and summit addresses are drawn from president.az. Cabinet Orders 419s and 420s reference implementing prior presidential directives, confirming continued regulatory activity at the executive level.</w:t>
            </w:r>
          </w:p>
        </w:tc>
      </w:tr>
    </w:tbl>
    <w:p/>
    <w:p>
      <w:pPr>
        <w:spacing w:before="160" w:after="60"/>
        <w:pBdr>
          <w:bottom w:val="single" w:sz="4" w:space="4" w:color="cccccc"/>
        </w:pBdr>
        <w:pBdr>
          <w:top w:val="single" w:sz="12" w:space="4" w:color="1a1a1a"/>
        </w:pBdr>
      </w:pPr>
      <w:r>
        <w:rPr>
          <w:rFonts w:ascii="Arial" w:hAnsi="Arial"/>
          <w:color w:val="888888"/>
          <w:sz w:val="14"/>
        </w:rPr>
        <w:t xml:space="preserve">ALI MƏHKƏMƏ ORQANI   </w:t>
      </w:r>
      <w:r>
        <w:rPr>
          <w:rFonts w:ascii="Georgia" w:hAnsi="Georgia"/>
          <w:b/>
          <w:color w:val="1A1A1A"/>
          <w:sz w:val="30"/>
        </w:rPr>
        <w:t>Constitutional Court</w:t>
      </w:r>
      <w:r>
        <w:rPr>
          <w:rFonts w:ascii="Arial" w:hAnsi="Arial"/>
          <w:i/>
          <w:color w:val="888888"/>
          <w:sz w:val="16"/>
        </w:rPr>
        <w:t xml:space="preserve">   Decisions — constcourt.gov.az</w:t>
      </w:r>
    </w:p>
    <w:tbl>
      <w:tblPr>
        <w:tblW w:type="auto" w:w="0"/>
        <w:jc w:val="center"/>
        <w:tblLook w:firstColumn="1" w:firstRow="1" w:lastColumn="0" w:lastRow="0" w:noHBand="0" w:noVBand="1" w:val="04A0"/>
      </w:tblPr>
      <w:tblGrid>
        <w:gridCol w:w="9412"/>
      </w:tblGrid>
      <w:tr>
        <w:tc>
          <w:tcPr>
            <w:tcW w:type="dxa" w:w="9412"/>
            <w:shd w:val="clear" w:color="auto" w:fill="fff8e1"/>
          </w:tcPr>
          <w:p>
            <w:pPr>
              <w:spacing w:before="60" w:after="60"/>
            </w:pPr>
            <w:r>
              <w:rPr>
                <w:rFonts w:ascii="Arial" w:hAnsi="Arial"/>
                <w:b/>
                <w:color w:val="6B5900"/>
                <w:sz w:val="17"/>
              </w:rPr>
              <w:t xml:space="preserve">⚠ Source Temporarily Unavailable.  </w:t>
            </w:r>
            <w:r>
              <w:rPr>
                <w:rFonts w:ascii="Arial" w:hAnsi="Arial"/>
                <w:b w:val="0"/>
                <w:i w:val="0"/>
                <w:color w:val="6B5900"/>
                <w:sz w:val="17"/>
              </w:rPr>
              <w:t>The Constitutional Court's decisions portal (constcourt.gov.az) returned an HTTP 503 Service Unavailable error at the time of compilation (20 June 2026). No decisions from the reporting period could be retrieved. Readers are advised to consult the portal directly for any decisions issued during the week of 13–20 June 2026.</w:t>
            </w:r>
          </w:p>
        </w:tc>
      </w:tr>
    </w:tbl>
    <w:p/>
    <w:p>
      <w:pPr>
        <w:spacing w:before="160" w:after="60"/>
        <w:pBdr>
          <w:bottom w:val="single" w:sz="4" w:space="4" w:color="cccccc"/>
        </w:pBdr>
        <w:pBdr>
          <w:top w:val="single" w:sz="12" w:space="4" w:color="1a1a1a"/>
        </w:pBdr>
      </w:pPr>
      <w:r>
        <w:rPr>
          <w:rFonts w:ascii="Arial" w:hAnsi="Arial"/>
          <w:color w:val="888888"/>
          <w:sz w:val="14"/>
        </w:rPr>
        <w:t xml:space="preserve">OFFICIAL LEGISLATIVE DATABASE   </w:t>
      </w:r>
      <w:r>
        <w:rPr>
          <w:rFonts w:ascii="Georgia" w:hAnsi="Georgia"/>
          <w:b/>
          <w:color w:val="1A1A1A"/>
          <w:sz w:val="30"/>
        </w:rPr>
        <w:t>e-Qanun</w:t>
      </w:r>
      <w:r>
        <w:rPr>
          <w:rFonts w:ascii="Arial" w:hAnsi="Arial"/>
          <w:i/>
          <w:color w:val="888888"/>
          <w:sz w:val="16"/>
        </w:rPr>
        <w:t xml:space="preserve">   Normative Acts Register — e-qanun.az</w:t>
      </w:r>
    </w:p>
    <w:p>
      <w:pPr>
        <w:spacing w:before="40" w:after="80"/>
      </w:pPr>
      <w:r>
        <w:rPr>
          <w:rFonts w:ascii="Arial" w:hAnsi="Arial"/>
          <w:b w:val="0"/>
          <w:i w:val="0"/>
          <w:color w:val="555555"/>
          <w:sz w:val="18"/>
        </w:rPr>
        <w:t>The e-Qanun consolidated register was successfully queried this week via its backend API (api.e-qanun.az), replacing the previously unavailable automated feed. The following acts carry an adoption date within the reporting period and have been entered into the official register as of compilation. The register is the authoritative source of consolidated, in-force texts and serves here to confirm formal publication of the instruments reported above.</w:t>
      </w:r>
    </w:p>
    <w:p>
      <w:pPr>
        <w:spacing w:before="40" w:after="40"/>
        <w:pBdr>
          <w:bottom w:val="single" w:sz="4" w:space="4" w:color="cccccc"/>
        </w:pBdr>
      </w:pPr>
      <w:r>
        <w:rPr>
          <w:rFonts w:ascii="Arial" w:hAnsi="Arial"/>
          <w:b w:val="0"/>
          <w:i w:val="0"/>
          <w:color w:val="555555"/>
          <w:sz w:val="16"/>
        </w:rPr>
        <w:t>REGISTERED ACTS — 16–17 JUNE 2026</w:t>
      </w:r>
    </w:p>
    <w:p>
      <w:pPr>
        <w:spacing w:before="60" w:after="20"/>
      </w:pPr>
      <w:r>
        <w:rPr>
          <w:rFonts w:ascii="Arial" w:hAnsi="Arial"/>
          <w:b/>
          <w:color w:val="2C3E50"/>
          <w:sz w:val="13"/>
        </w:rPr>
        <w:t>[DECREE]</w:t>
      </w:r>
      <w:r>
        <w:rPr>
          <w:rFonts w:ascii="Arial" w:hAnsi="Arial"/>
          <w:color w:val="888888"/>
          <w:sz w:val="15"/>
        </w:rPr>
        <w:t xml:space="preserve">  framework/62008</w:t>
      </w:r>
      <w:r>
        <w:rPr>
          <w:rFonts w:ascii="Arial" w:hAnsi="Arial"/>
          <w:color w:val="888888"/>
          <w:sz w:val="15"/>
        </w:rPr>
        <w:t xml:space="preserve">   16 Jun 2026</w:t>
      </w:r>
    </w:p>
    <w:p>
      <w:pPr>
        <w:spacing w:before="0" w:after="20"/>
      </w:pPr>
      <w:r>
        <w:rPr>
          <w:rFonts w:ascii="Georgia" w:hAnsi="Georgia"/>
          <w:b/>
          <w:color w:val="1A1A1A"/>
          <w:sz w:val="20"/>
        </w:rPr>
        <w:t>Presidential Decree — Non-Oil/Gas Export Support</w:t>
      </w:r>
    </w:p>
    <w:p>
      <w:pPr>
        <w:spacing w:before="0" w:after="80"/>
        <w:pBdr>
          <w:bottom w:val="single" w:sz="2" w:space="4" w:color="d0d0d0"/>
        </w:pBdr>
      </w:pPr>
      <w:r>
        <w:rPr>
          <w:rFonts w:ascii="Arial" w:hAnsi="Arial"/>
          <w:b w:val="0"/>
          <w:i w:val="0"/>
          <w:color w:val="333333"/>
          <w:sz w:val="18"/>
        </w:rPr>
        <w:t>Additional measures to support the export of non-oil-and-gas goods. Status: in force.</w:t>
      </w:r>
    </w:p>
    <w:p>
      <w:pPr>
        <w:spacing w:before="60" w:after="20"/>
      </w:pPr>
      <w:r>
        <w:rPr>
          <w:rFonts w:ascii="Arial" w:hAnsi="Arial"/>
          <w:b/>
          <w:color w:val="4A4A4A"/>
          <w:sz w:val="13"/>
        </w:rPr>
        <w:t>[ORDERS]</w:t>
      </w:r>
      <w:r>
        <w:rPr>
          <w:rFonts w:ascii="Arial" w:hAnsi="Arial"/>
          <w:color w:val="888888"/>
          <w:sz w:val="15"/>
        </w:rPr>
        <w:t xml:space="preserve">  framework/62010, /62009</w:t>
      </w:r>
      <w:r>
        <w:rPr>
          <w:rFonts w:ascii="Arial" w:hAnsi="Arial"/>
          <w:color w:val="888888"/>
          <w:sz w:val="15"/>
        </w:rPr>
        <w:t xml:space="preserve">   17 Jun 2026</w:t>
      </w:r>
    </w:p>
    <w:p>
      <w:pPr>
        <w:spacing w:before="0" w:after="20"/>
      </w:pPr>
      <w:r>
        <w:rPr>
          <w:rFonts w:ascii="Georgia" w:hAnsi="Georgia"/>
          <w:b/>
          <w:color w:val="1A1A1A"/>
          <w:sz w:val="20"/>
        </w:rPr>
        <w:t>Presidential Orders — State Decorations (×2)</w:t>
      </w:r>
    </w:p>
    <w:p>
      <w:pPr>
        <w:spacing w:before="0" w:after="80"/>
        <w:pBdr>
          <w:bottom w:val="single" w:sz="2" w:space="4" w:color="d0d0d0"/>
        </w:pBdr>
      </w:pPr>
      <w:r>
        <w:rPr>
          <w:rFonts w:ascii="Arial" w:hAnsi="Arial"/>
          <w:b w:val="0"/>
          <w:i w:val="0"/>
          <w:color w:val="333333"/>
          <w:sz w:val="18"/>
        </w:rPr>
        <w:t>Conferral of the "Dostluq" Order on M. S. Al-Jasir, and state awards for Azerbaijani healthcare workers. Status: in force.</w:t>
      </w:r>
    </w:p>
    <w:p>
      <w:pPr>
        <w:spacing w:before="60" w:after="20"/>
      </w:pPr>
      <w:r>
        <w:rPr>
          <w:rFonts w:ascii="Arial" w:hAnsi="Arial"/>
          <w:b/>
          <w:color w:val="2C3E50"/>
          <w:sz w:val="13"/>
        </w:rPr>
        <w:t>[DECISIONS]</w:t>
      </w:r>
      <w:r>
        <w:rPr>
          <w:rFonts w:ascii="Arial" w:hAnsi="Arial"/>
          <w:color w:val="888888"/>
          <w:sz w:val="15"/>
        </w:rPr>
        <w:t xml:space="preserve">  framework/62027, /62025, /62026</w:t>
      </w:r>
      <w:r>
        <w:rPr>
          <w:rFonts w:ascii="Arial" w:hAnsi="Arial"/>
          <w:color w:val="888888"/>
          <w:sz w:val="15"/>
        </w:rPr>
        <w:t xml:space="preserve">   16 Jun 2026</w:t>
      </w:r>
    </w:p>
    <w:p>
      <w:pPr>
        <w:spacing w:before="0" w:after="20"/>
      </w:pPr>
      <w:r>
        <w:rPr>
          <w:rFonts w:ascii="Georgia" w:hAnsi="Georgia"/>
          <w:b/>
          <w:color w:val="1A1A1A"/>
          <w:sz w:val="20"/>
        </w:rPr>
        <w:t>Cabinet of Ministers Decisions Nos. 181–183</w:t>
      </w:r>
    </w:p>
    <w:p>
      <w:pPr>
        <w:spacing w:before="0" w:after="80"/>
        <w:pBdr>
          <w:bottom w:val="single" w:sz="2" w:space="4" w:color="d0d0d0"/>
        </w:pBdr>
      </w:pPr>
      <w:r>
        <w:rPr>
          <w:rFonts w:ascii="Arial" w:hAnsi="Arial"/>
          <w:b w:val="0"/>
          <w:i w:val="0"/>
          <w:color w:val="333333"/>
          <w:sz w:val="18"/>
        </w:rPr>
        <w:t>No. 181 (amends Cabinet Decision No. 315 of 25 Jun 2024); No. 182 (Rules for the Electronic Registry of State Services); No. 183 (Rules on civil defence in railway transport). Status: in force.</w:t>
      </w:r>
    </w:p>
    <w:p>
      <w:pPr>
        <w:spacing w:before="80" w:after="40"/>
        <w:shd w:val="clear" w:color="auto" w:fill="f0ede6"/>
      </w:pPr>
      <w:r>
        <w:rPr>
          <w:rFonts w:ascii="Georgia" w:hAnsi="Georgia"/>
          <w:b/>
          <w:color w:val="1A1A1A"/>
          <w:sz w:val="18"/>
        </w:rPr>
        <w:t>Register Cross-Check — No New Primary Legislation</w:t>
      </w:r>
    </w:p>
    <w:p>
      <w:pPr>
        <w:spacing w:before="0" w:after="60"/>
        <w:shd w:val="clear" w:color="auto" w:fill="f0ede6"/>
      </w:pPr>
      <w:r>
        <w:rPr>
          <w:rFonts w:ascii="Arial" w:hAnsi="Arial"/>
          <w:b w:val="0"/>
          <w:i w:val="0"/>
          <w:color w:val="444444"/>
          <w:sz w:val="17"/>
        </w:rPr>
        <w:t>The most recent enacted instruments confirm no new acts were adopted in these categories during the reporting week:  Laws — latest No. 415-VIIQD (26 May 2026);  Milli Majlis Decisions — latest No. 405-VIIQR (26 May 2026);  Cabinet Orders — latest No. 363s (26 May 2026);  Constitutional Court — latest decision 25 May 2026.</w:t>
      </w:r>
    </w:p>
    <w:tbl>
      <w:tblPr>
        <w:tblW w:type="auto" w:w="0"/>
        <w:jc w:val="center"/>
        <w:tblLook w:firstColumn="1" w:firstRow="1" w:lastColumn="0" w:lastRow="0" w:noHBand="0" w:noVBand="1" w:val="04A0"/>
      </w:tblPr>
      <w:tblGrid>
        <w:gridCol w:w="9412"/>
      </w:tblGrid>
      <w:tr>
        <w:tc>
          <w:tcPr>
            <w:tcW w:type="dxa" w:w="9412"/>
            <w:shd w:val="clear" w:color="auto" w:fill="f8f8f8"/>
          </w:tcPr>
          <w:p>
            <w:pPr>
              <w:spacing w:before="60" w:after="60"/>
            </w:pPr>
            <w:r>
              <w:rPr>
                <w:rFonts w:ascii="Arial" w:hAnsi="Arial"/>
                <w:b w:val="0"/>
                <w:i w:val="0"/>
                <w:color w:val="555555"/>
                <w:sz w:val="17"/>
              </w:rPr>
              <w:t>REGISTER-LAG NOTE: The e-Qanun register reflects formal publication and may lag a government body's own portal by several days. The Cabinet instruments of 19 June (Decisions 184–186 and Orders 419s–420s reported above from nk.gov.az) had not yet been entered into the e-Qanun register at the time of compilation and should be re-verified there once published.</w:t>
            </w:r>
          </w:p>
        </w:tc>
      </w:tr>
    </w:tbl>
    <w:p/>
    <w:p>
      <w:pPr>
        <w:spacing w:before="140" w:after="60"/>
        <w:shd w:val="clear" w:color="auto" w:fill="f0ede6"/>
        <w:pBdr>
          <w:bottom w:val="single" w:sz="4" w:space="4" w:color="cccccc"/>
        </w:pBdr>
      </w:pPr>
      <w:r>
        <w:rPr>
          <w:rFonts w:ascii="Arial" w:hAnsi="Arial"/>
          <w:b w:val="0"/>
          <w:i w:val="0"/>
          <w:color w:val="888888"/>
          <w:sz w:val="15"/>
        </w:rPr>
        <w:t>REGULATORY SPOTLIGHT — KEY THEMES, WEEK 25 / 2026</w:t>
      </w:r>
    </w:p>
    <w:p>
      <w:pPr>
        <w:spacing w:before="60" w:after="20"/>
        <w:shd w:val="clear" w:color="auto" w:fill="f0ede6"/>
      </w:pPr>
      <w:r>
        <w:rPr>
          <w:rFonts w:ascii="Georgia" w:hAnsi="Georgia"/>
          <w:b/>
          <w:color w:val="1A1A1A"/>
          <w:sz w:val="19"/>
        </w:rPr>
        <w:t>1. Energy Sector: Solar &amp; Grid Reform</w:t>
      </w:r>
    </w:p>
    <w:p>
      <w:pPr>
        <w:spacing w:before="0" w:after="60"/>
        <w:shd w:val="clear" w:color="auto" w:fill="f0ede6"/>
      </w:pPr>
      <w:r>
        <w:rPr>
          <w:rFonts w:ascii="Arial" w:hAnsi="Arial"/>
          <w:b w:val="0"/>
          <w:i w:val="0"/>
          <w:color w:val="444444"/>
          <w:sz w:val="18"/>
        </w:rPr>
        <w:t>Three Cabinet instruments this week directly target the energy sector. Decision 186 extends solar construction permit durations — a concrete incentive for renewable project developers facing timeline pressure. Decision 185 updates energy balance monitoring, improving planning data quality. Decision 181 amends electricity grid operational rules, with potential implications for network access and tariff arrangements. Taken together, these represent a sustained regulatory push aligned with Azerbaijan's post-COP29 green energy commitments.</w:t>
      </w:r>
    </w:p>
    <w:p>
      <w:pPr>
        <w:spacing w:before="60" w:after="20"/>
        <w:shd w:val="clear" w:color="auto" w:fill="f0ede6"/>
      </w:pPr>
      <w:r>
        <w:rPr>
          <w:rFonts w:ascii="Georgia" w:hAnsi="Georgia"/>
          <w:b/>
          <w:color w:val="1A1A1A"/>
          <w:sz w:val="19"/>
        </w:rPr>
        <w:t>2. Transport &amp; Commerce Omnibus Bill</w:t>
      </w:r>
    </w:p>
    <w:p>
      <w:pPr>
        <w:spacing w:before="0" w:after="60"/>
        <w:shd w:val="clear" w:color="auto" w:fill="f0ede6"/>
      </w:pPr>
      <w:r>
        <w:rPr>
          <w:rFonts w:ascii="Arial" w:hAnsi="Arial"/>
          <w:b w:val="0"/>
          <w:i w:val="0"/>
          <w:color w:val="444444"/>
          <w:sz w:val="18"/>
        </w:rPr>
        <w:t>The Milli Majlis placed an exceptionally broad transport and commerce amendment package on the agenda (Bill 7), spanning maritime, road, customs, automotive, and aviation law simultaneously. If adopted in its current form, this omnibus would represent one of the most extensive multi-sector regulatory updates in years. Firms with clients in shipping, freight, civil aviation, or cross-border trade should track this bill closely through subsequent readings.</w:t>
      </w:r>
    </w:p>
    <w:p>
      <w:pPr>
        <w:spacing w:before="60" w:after="20"/>
        <w:shd w:val="clear" w:color="auto" w:fill="f0ede6"/>
      </w:pPr>
      <w:r>
        <w:rPr>
          <w:rFonts w:ascii="Georgia" w:hAnsi="Georgia"/>
          <w:b/>
          <w:color w:val="1A1A1A"/>
          <w:sz w:val="19"/>
        </w:rPr>
        <w:t>3. AI &amp; Human Rights Governance</w:t>
      </w:r>
    </w:p>
    <w:p>
      <w:pPr>
        <w:spacing w:before="0" w:after="60"/>
        <w:shd w:val="clear" w:color="auto" w:fill="f0ede6"/>
      </w:pPr>
      <w:r>
        <w:rPr>
          <w:rFonts w:ascii="Arial" w:hAnsi="Arial"/>
          <w:b w:val="0"/>
          <w:i w:val="0"/>
          <w:color w:val="444444"/>
          <w:sz w:val="18"/>
        </w:rPr>
        <w:t>The International Baku Ombudsmen Summit on "Human Rights in the Age of Artificial Intelligence" (18 June) positions Azerbaijan as an active participant in emerging global AI governance frameworks. While not yet legislative, Summit outcomes may inform future domestic AI-related regulation. Legal practitioners advising tech companies, data processors, or public-sector bodies on compliance should monitor any declarations or recommendations arising from this event.</w:t>
      </w:r>
    </w:p>
    <w:p>
      <w:pPr>
        <w:spacing w:before="60" w:after="20"/>
        <w:shd w:val="clear" w:color="auto" w:fill="f0ede6"/>
      </w:pPr>
      <w:r>
        <w:rPr>
          <w:rFonts w:ascii="Georgia" w:hAnsi="Georgia"/>
          <w:b/>
          <w:color w:val="1A1A1A"/>
          <w:sz w:val="19"/>
        </w:rPr>
        <w:t>4. Normative Acts Constitutional Reform</w:t>
      </w:r>
    </w:p>
    <w:p>
      <w:pPr>
        <w:spacing w:before="0" w:after="60"/>
        <w:shd w:val="clear" w:color="auto" w:fill="f0ede6"/>
      </w:pPr>
      <w:r>
        <w:rPr>
          <w:rFonts w:ascii="Arial" w:hAnsi="Arial"/>
          <w:b w:val="0"/>
          <w:i w:val="0"/>
          <w:color w:val="444444"/>
          <w:sz w:val="18"/>
        </w:rPr>
        <w:t>Bill 5 — a constitutional-law-level amendment to the framework governing normative legal acts — is the most structurally significant legislation before Parliament this week. Changes to the hierarchy, adoption, and publication rules for normative acts can have downstream effects on the entire regulatory landscape. Practitioners across all practice areas should watch for the bill's text and subsequent readings, as it may alter how regulations are interpreted and challenged.</w:t>
      </w:r>
    </w:p>
    <w:p>
      <w:pPr>
        <w:pBdr>
          <w:bottom w:val="single" w:sz="6" w:space="4" w:color="1a1a1a"/>
        </w:pBdr>
        <w:spacing w:before="160" w:after="60"/>
      </w:pPr>
    </w:p>
    <w:tbl>
      <w:tblPr>
        <w:tblW w:type="auto" w:w="0"/>
        <w:jc w:val="center"/>
        <w:tblLook w:firstColumn="1" w:firstRow="1" w:lastColumn="0" w:lastRow="0" w:noHBand="0" w:noVBand="1" w:val="04A0"/>
      </w:tblPr>
      <w:tblGrid>
        <w:gridCol w:w="4706"/>
        <w:gridCol w:w="4706"/>
      </w:tblGrid>
      <w:tr>
        <w:tc>
          <w:tcPr>
            <w:tcW w:type="dxa" w:w="4706"/>
          </w:tcPr>
          <w:p>
            <w:pPr>
              <w:spacing w:before="0" w:after="0"/>
            </w:pPr>
            <w:r>
              <w:rPr>
                <w:rFonts w:ascii="Arial" w:hAnsi="Arial"/>
                <w:b/>
                <w:color w:val="555555"/>
                <w:sz w:val="15"/>
              </w:rPr>
              <w:t>Omni Law Gazette</w:t>
            </w:r>
            <w:r>
              <w:rPr>
                <w:rFonts w:ascii="Arial" w:hAnsi="Arial"/>
                <w:b w:val="0"/>
                <w:i w:val="0"/>
                <w:color w:val="555555"/>
                <w:sz w:val="15"/>
              </w:rPr>
              <w:t xml:space="preserve"> is an internal digest compiled by Omni Law Firm for informational purposes only. It does not constitute legal advice. Document descriptions are derived from official government portals; readers should consult primary sources and full texts before relying on any item. Sources: president.az · nk.gov.az · meclis.gov.az · e-qanun.az · constcourt.gov.az</w:t>
            </w:r>
          </w:p>
        </w:tc>
        <w:tc>
          <w:tcPr>
            <w:tcW w:type="dxa" w:w="4706"/>
          </w:tcPr>
          <w:p>
            <w:pPr>
              <w:jc w:val="right"/>
              <w:spacing w:before="0" w:after="0"/>
            </w:pPr>
            <w:r>
              <w:rPr>
                <w:rFonts w:ascii="Arial" w:hAnsi="Arial"/>
                <w:b/>
                <w:color w:val="555555"/>
                <w:sz w:val="15"/>
              </w:rPr>
              <w:t>Issue No. 2</w:t>
              <w:br/>
            </w:r>
            <w:r>
              <w:rPr>
                <w:rFonts w:ascii="Arial" w:hAnsi="Arial"/>
                <w:b w:val="0"/>
                <w:i w:val="0"/>
                <w:color w:val="555555"/>
                <w:sz w:val="15"/>
              </w:rPr>
              <w:t>Week of 13–20 June 2026</w:t>
              <w:br/>
              <w:t>Compiled: 20 June 2026</w:t>
              <w:br/>
              <w:t>© 2026 Omni Law Firm</w:t>
            </w:r>
          </w:p>
        </w:tc>
      </w:tr>
    </w:tbl>
    <w:sectPr w:rsidR="00FC693F" w:rsidRPr="0006063C" w:rsidSect="00034616">
      <w:pgSz w:w="11906" w:h="16838"/>
      <w:pgMar w:top="1020"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