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24" w:space="1" w:color="1A1A1A"/>
        </w:pBdr>
      </w:pPr>
    </w:p>
    <w:p>
      <w:pPr>
        <w:spacing w:before="160" w:after="0"/>
        <w:jc w:val="center"/>
      </w:pPr>
      <w:r>
        <w:rPr>
          <w:b/>
          <w:sz w:val="76"/>
        </w:rPr>
        <w:t xml:space="preserve">OMNI </w:t>
      </w:r>
      <w:r>
        <w:rPr>
          <w:i/>
          <w:sz w:val="76"/>
        </w:rPr>
        <w:t xml:space="preserve">Law </w:t>
      </w:r>
      <w:r>
        <w:rPr>
          <w:b/>
          <w:sz w:val="76"/>
        </w:rPr>
        <w:t>GAZETTE</w:t>
      </w:r>
    </w:p>
    <w:p>
      <w:pPr>
        <w:spacing w:before="40" w:after="80"/>
        <w:jc w:val="center"/>
      </w:pPr>
      <w:r>
        <w:rPr>
          <w:color w:val="555555"/>
          <w:sz w:val="16"/>
        </w:rPr>
        <w:t>LEGISLATIVE INTELLIGENCE FOR LEGAL PROFESSIONALS</w:t>
      </w:r>
    </w:p>
    <w:p>
      <w:pPr>
        <w:spacing w:before="0" w:after="0"/>
        <w:pBdr>
          <w:bottom w:val="single" w:sz="8" w:space="1" w:color="1A1A1A"/>
        </w:pBdr>
      </w:pPr>
    </w:p>
    <w:p>
      <w:pPr>
        <w:spacing w:before="60" w:after="60"/>
        <w:jc w:val="center"/>
      </w:pPr>
      <w:r>
        <w:rPr>
          <w:color w:val="555555"/>
          <w:sz w:val="15"/>
        </w:rPr>
        <w:t>ISSUE No. 3   ·   REPORTING PERIOD: 20 JUNE – 27 JUNE 2026   ·   PUBLISHED: FRIDAY, 27 JUNE 2026</w:t>
      </w:r>
    </w:p>
    <w:p>
      <w:pPr>
        <w:spacing w:before="0" w:after="0"/>
        <w:pBdr>
          <w:bottom w:val="single" w:sz="16" w:space="1" w:color="1A1A1A"/>
        </w:pBdr>
      </w:pPr>
    </w:p>
    <w:p>
      <w:pPr>
        <w:spacing w:before="100" w:after="100"/>
        <w:jc w:val="center"/>
        <w:shd w:val="clear" w:color="auto" w:fill="1A1A1A"/>
      </w:pPr>
      <w:r>
        <w:rPr>
          <w:b/>
          <w:color w:val="FFFFFF"/>
          <w:sz w:val="16"/>
        </w:rPr>
        <w:t>WEEK 26, 2026   ·   REPUBLIC OF AZERBAIJAN   ·   LEGISLATIVE MONITOR</w:t>
      </w:r>
    </w:p>
    <w:p/>
    <w:p>
      <w:pPr>
        <w:spacing w:before="120" w:after="80"/>
        <w:jc w:val="left"/>
      </w:pPr>
      <w:r>
        <w:rPr>
          <w:b w:val="0"/>
          <w:color w:val="1A1A1A"/>
          <w:sz w:val="16"/>
        </w:rPr>
        <w:t>THIS WEEK AT A GLANCE</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pPr>
              <w:jc w:val="center"/>
            </w:pPr>
            <w:r>
              <w:rPr>
                <w:b/>
                <w:sz w:val="52"/>
              </w:rPr>
              <w:t>1</w:t>
            </w:r>
          </w:p>
        </w:tc>
        <w:tc>
          <w:tcPr>
            <w:tcW w:type="dxa" w:w="1882"/>
          </w:tcPr>
          <w:p>
            <w:pPr>
              <w:jc w:val="center"/>
            </w:pPr>
            <w:r>
              <w:rPr>
                <w:b/>
                <w:sz w:val="52"/>
              </w:rPr>
              <w:t>6</w:t>
            </w:r>
          </w:p>
        </w:tc>
        <w:tc>
          <w:tcPr>
            <w:tcW w:type="dxa" w:w="1882"/>
          </w:tcPr>
          <w:p>
            <w:pPr>
              <w:jc w:val="center"/>
            </w:pPr>
            <w:r>
              <w:rPr>
                <w:b/>
                <w:sz w:val="52"/>
              </w:rPr>
              <w:t>3</w:t>
            </w:r>
          </w:p>
        </w:tc>
        <w:tc>
          <w:tcPr>
            <w:tcW w:type="dxa" w:w="1882"/>
          </w:tcPr>
          <w:p>
            <w:pPr>
              <w:jc w:val="center"/>
            </w:pPr>
            <w:r>
              <w:rPr>
                <w:b/>
                <w:sz w:val="52"/>
              </w:rPr>
              <w:t>10</w:t>
            </w:r>
          </w:p>
        </w:tc>
        <w:tc>
          <w:tcPr>
            <w:tcW w:type="dxa" w:w="1882"/>
          </w:tcPr>
          <w:p>
            <w:pPr>
              <w:jc w:val="center"/>
            </w:pPr>
            <w:r>
              <w:rPr>
                <w:b/>
                <w:sz w:val="52"/>
              </w:rPr>
              <w:t>4</w:t>
            </w:r>
          </w:p>
        </w:tc>
      </w:tr>
      <w:tr>
        <w:tc>
          <w:tcPr>
            <w:tcW w:type="dxa" w:w="1882"/>
          </w:tcPr>
          <w:p>
            <w:pPr>
              <w:jc w:val="center"/>
            </w:pPr>
            <w:r>
              <w:rPr>
                <w:color w:val="555555"/>
                <w:sz w:val="15"/>
              </w:rPr>
              <w:t>New Law</w:t>
              <w:br/>
              <w:t>Enacted</w:t>
            </w:r>
          </w:p>
        </w:tc>
        <w:tc>
          <w:tcPr>
            <w:tcW w:type="dxa" w:w="1882"/>
          </w:tcPr>
          <w:p>
            <w:pPr>
              <w:jc w:val="center"/>
            </w:pPr>
            <w:r>
              <w:rPr>
                <w:color w:val="555555"/>
                <w:sz w:val="15"/>
              </w:rPr>
              <w:t>Presidential</w:t>
              <w:br/>
              <w:t>Decrees</w:t>
            </w:r>
          </w:p>
        </w:tc>
        <w:tc>
          <w:tcPr>
            <w:tcW w:type="dxa" w:w="1882"/>
          </w:tcPr>
          <w:p>
            <w:pPr>
              <w:jc w:val="center"/>
            </w:pPr>
            <w:r>
              <w:rPr>
                <w:color w:val="555555"/>
                <w:sz w:val="15"/>
              </w:rPr>
              <w:t>Presidential</w:t>
              <w:br/>
              <w:t>Orders</w:t>
            </w:r>
          </w:p>
        </w:tc>
        <w:tc>
          <w:tcPr>
            <w:tcW w:type="dxa" w:w="1882"/>
          </w:tcPr>
          <w:p>
            <w:pPr>
              <w:jc w:val="center"/>
            </w:pPr>
            <w:r>
              <w:rPr>
                <w:color w:val="555555"/>
                <w:sz w:val="15"/>
              </w:rPr>
              <w:t>Cabinet</w:t>
              <w:br/>
              <w:t>Decisions</w:t>
            </w:r>
          </w:p>
        </w:tc>
        <w:tc>
          <w:tcPr>
            <w:tcW w:type="dxa" w:w="1882"/>
          </w:tcPr>
          <w:p>
            <w:pPr>
              <w:jc w:val="center"/>
            </w:pPr>
            <w:r>
              <w:rPr>
                <w:color w:val="555555"/>
                <w:sz w:val="15"/>
              </w:rPr>
              <w:t>Cabinet</w:t>
              <w:br/>
              <w:t>Orders</w:t>
            </w:r>
          </w:p>
        </w:tc>
      </w:tr>
    </w:tbl>
    <w:p/>
    <w:p>
      <w:pPr>
        <w:spacing w:before="0" w:after="0"/>
        <w:pBdr>
          <w:bottom w:val="single" w:sz="16" w:space="1" w:color="1A1A1A"/>
        </w:pBdr>
      </w:pPr>
    </w:p>
    <w:p>
      <w:pPr>
        <w:spacing w:before="80" w:after="0"/>
      </w:pPr>
      <w:r>
        <w:rPr>
          <w:color w:val="555555"/>
          <w:sz w:val="14"/>
        </w:rPr>
        <w:t xml:space="preserve">ADMINISTRATION OF THE PRESIDENT  ·  </w:t>
      </w:r>
      <w:r>
        <w:rPr>
          <w:b/>
          <w:sz w:val="28"/>
        </w:rPr>
        <w:t>Presidential Office</w:t>
      </w:r>
      <w:r>
        <w:rPr>
          <w:i/>
          <w:color w:val="555555"/>
          <w:sz w:val="16"/>
        </w:rPr>
        <w:t xml:space="preserve">  —  Decrees &amp; Orders — 25 June 2026</w:t>
      </w:r>
    </w:p>
    <w:p>
      <w:pPr>
        <w:spacing w:before="0" w:after="0"/>
        <w:pBdr>
          <w:bottom w:val="single" w:sz="6" w:space="1" w:color="CCCCCC"/>
        </w:pBdr>
      </w:pPr>
    </w:p>
    <w:p>
      <w:pPr>
        <w:spacing w:before="40" w:after="80"/>
      </w:pPr>
      <w:r>
        <w:rPr>
          <w:i w:val="0"/>
          <w:color w:val="555555"/>
          <w:sz w:val="19"/>
        </w:rPr>
        <w:t>President Ilham Aliyev issued a substantial legislative package on 25 June 2026, comprising six presidential decrees (fərmanlar) and three orders (sərəncamlar). The decrees cluster around two key reform priorities: the digitalisation of customs and state finance infrastructure, and the restructuring of the mandatory health insurance regime through the creation of a new agency. The orders focus on military recognition and promotions.</w:t>
      </w:r>
    </w:p>
    <w:p>
      <w:pPr>
        <w:spacing w:before="160" w:after="80"/>
        <w:jc w:val="left"/>
      </w:pPr>
      <w:r>
        <w:rPr>
          <w:b/>
          <w:color w:val="1A1A1A"/>
          <w:sz w:val="16"/>
        </w:rPr>
        <w:t>Decrees — Fərmanlar (25 June 2026)</w:t>
      </w:r>
    </w:p>
    <w:p>
      <w:pPr>
        <w:spacing w:before="120" w:after="20"/>
      </w:pPr>
      <w:r>
        <w:rPr>
          <w:b/>
          <w:color w:val="FFFFFF"/>
          <w:sz w:val="14"/>
          <w:shd w:val="clear" w:color="auto" w:fill="2C3E50"/>
        </w:rPr>
        <w:t xml:space="preserve">  FƏRMAN  </w:t>
      </w:r>
      <w:r>
        <w:rPr>
          <w:color w:val="555555"/>
          <w:sz w:val="16"/>
        </w:rPr>
        <w:t xml:space="preserve">  ·  25 Jun 2026</w:t>
      </w:r>
    </w:p>
    <w:p>
      <w:pPr>
        <w:spacing w:before="40" w:after="20"/>
      </w:pPr>
      <w:r>
        <w:rPr>
          <w:b/>
          <w:sz w:val="20"/>
        </w:rPr>
        <w:t>State Medical Insurance and Expertise Agency — Establishment</w:t>
      </w:r>
    </w:p>
    <w:p>
      <w:pPr>
        <w:spacing w:before="0" w:after="40"/>
      </w:pPr>
      <w:r>
        <w:rPr>
          <w:i/>
          <w:color w:val="555555"/>
          <w:sz w:val="16"/>
        </w:rPr>
        <w:t>"Dövlət Tibbi Sığorta və Ekspertiza Agentliyi" publik hüquqi şəxsin Nizamnaməsinin təsdiq edilməsi haqqında</w:t>
      </w:r>
    </w:p>
    <w:p>
      <w:pPr>
        <w:spacing w:before="0" w:after="160"/>
      </w:pPr>
      <w:r>
        <w:rPr>
          <w:color w:val="333333"/>
          <w:sz w:val="18"/>
        </w:rPr>
        <w:t>Formally establishes the 'State Medical Insurance and Expertise Agency' as a public legal entity and approves its founding charter (nizamnamə). Centralises oversight of mandatory medical insurance administration under a single new state body, replacing the previous fragmented institutional arrangement.</w:t>
      </w:r>
    </w:p>
    <w:p>
      <w:pPr>
        <w:spacing w:before="0" w:after="0"/>
        <w:pBdr>
          <w:bottom w:val="single" w:sz="4" w:space="1" w:color="D0D0D0"/>
        </w:pBdr>
      </w:pPr>
    </w:p>
    <w:p>
      <w:pPr>
        <w:spacing w:before="120" w:after="20"/>
      </w:pPr>
      <w:r>
        <w:rPr>
          <w:b/>
          <w:color w:val="FFFFFF"/>
          <w:sz w:val="14"/>
          <w:shd w:val="clear" w:color="auto" w:fill="2C3E50"/>
        </w:rPr>
        <w:t xml:space="preserve">  FƏRMAN  </w:t>
      </w:r>
      <w:r>
        <w:rPr>
          <w:color w:val="555555"/>
          <w:sz w:val="16"/>
        </w:rPr>
        <w:t xml:space="preserve">  ·  25 Jun 2026</w:t>
      </w:r>
    </w:p>
    <w:p>
      <w:pPr>
        <w:spacing w:before="40" w:after="20"/>
      </w:pPr>
      <w:r>
        <w:rPr>
          <w:b/>
          <w:sz w:val="20"/>
        </w:rPr>
        <w:t>Mandatory Medical Insurance — Amendments to Presidential Decrees</w:t>
      </w:r>
    </w:p>
    <w:p>
      <w:pPr>
        <w:spacing w:before="0" w:after="40"/>
      </w:pPr>
      <w:r>
        <w:rPr>
          <w:i/>
          <w:color w:val="555555"/>
          <w:sz w:val="16"/>
        </w:rPr>
        <w:t>Əhalinin icbari tibbi sığortası sahəsində idarəetmənin təkmilləşdirilməsi ilə bağlı bir sıra fərmanlarda dəyişiklik edilməsi barədə</w:t>
      </w:r>
    </w:p>
    <w:p>
      <w:pPr>
        <w:spacing w:before="0" w:after="160"/>
      </w:pPr>
      <w:r>
        <w:rPr>
          <w:color w:val="333333"/>
          <w:sz w:val="18"/>
        </w:rPr>
        <w:t>Consequential amendments to a number of existing presidential decrees arising from reforms to mandatory medical insurance governance. Aligns earlier instruments with the newly established agency structure.</w:t>
      </w:r>
    </w:p>
    <w:p>
      <w:pPr>
        <w:spacing w:before="0" w:after="0"/>
        <w:pBdr>
          <w:bottom w:val="single" w:sz="4" w:space="1" w:color="D0D0D0"/>
        </w:pBdr>
      </w:pPr>
    </w:p>
    <w:p>
      <w:pPr>
        <w:spacing w:before="120" w:after="20"/>
      </w:pPr>
      <w:r>
        <w:rPr>
          <w:b/>
          <w:color w:val="FFFFFF"/>
          <w:sz w:val="14"/>
          <w:shd w:val="clear" w:color="auto" w:fill="2C3E50"/>
        </w:rPr>
        <w:t xml:space="preserve">  FƏRMAN  </w:t>
      </w:r>
      <w:r>
        <w:rPr>
          <w:color w:val="555555"/>
          <w:sz w:val="16"/>
        </w:rPr>
        <w:t xml:space="preserve">  ·  25 Jun 2026</w:t>
      </w:r>
    </w:p>
    <w:p>
      <w:pPr>
        <w:spacing w:before="40" w:after="20"/>
      </w:pPr>
      <w:r>
        <w:rPr>
          <w:b/>
          <w:sz w:val="20"/>
        </w:rPr>
        <w:t>"Intellectual Customs" Information System — Creation &amp; Regulation</w:t>
      </w:r>
    </w:p>
    <w:p>
      <w:pPr>
        <w:spacing w:before="0" w:after="40"/>
      </w:pPr>
      <w:r>
        <w:rPr>
          <w:i/>
          <w:color w:val="555555"/>
          <w:sz w:val="16"/>
        </w:rPr>
        <w:t>"İntellektual gömrük" informasiya sisteminin yaradılması və bununla əlaqədar bir sıra məsələlərin tənzimlənməsi haqqında</w:t>
      </w:r>
    </w:p>
    <w:p>
      <w:pPr>
        <w:spacing w:before="0" w:after="160"/>
      </w:pPr>
      <w:r>
        <w:rPr>
          <w:color w:val="333333"/>
          <w:sz w:val="18"/>
        </w:rPr>
        <w:t>Establishes the 'Intellectual Customs' (İntellektual Gömrük) information system and adopts its founding charter. Introduces AI-assisted customs processing and digital risk profiling. Practitioners advising on cross-border trade, customs compliance, and logistics should note this as a significant procedural reform.</w:t>
      </w:r>
    </w:p>
    <w:p>
      <w:pPr>
        <w:spacing w:before="0" w:after="0"/>
        <w:pBdr>
          <w:bottom w:val="single" w:sz="4" w:space="1" w:color="D0D0D0"/>
        </w:pBdr>
      </w:pPr>
    </w:p>
    <w:p>
      <w:pPr>
        <w:spacing w:before="120" w:after="20"/>
      </w:pPr>
      <w:r>
        <w:rPr>
          <w:b/>
          <w:color w:val="FFFFFF"/>
          <w:sz w:val="14"/>
          <w:shd w:val="clear" w:color="auto" w:fill="2C3E50"/>
        </w:rPr>
        <w:t xml:space="preserve">  FƏRMAN  </w:t>
      </w:r>
      <w:r>
        <w:rPr>
          <w:color w:val="555555"/>
          <w:sz w:val="16"/>
        </w:rPr>
        <w:t xml:space="preserve">  ·  25 Jun 2026</w:t>
      </w:r>
    </w:p>
    <w:p>
      <w:pPr>
        <w:spacing w:before="40" w:after="20"/>
      </w:pPr>
      <w:r>
        <w:rPr>
          <w:b/>
          <w:sz w:val="20"/>
        </w:rPr>
        <w:t>Reorganisation of State Public Legal Entities</w:t>
      </w:r>
    </w:p>
    <w:p>
      <w:pPr>
        <w:spacing w:before="0" w:after="40"/>
      </w:pPr>
      <w:r>
        <w:rPr>
          <w:i/>
          <w:color w:val="555555"/>
          <w:sz w:val="16"/>
        </w:rPr>
        <w:t>Dövlət adından yaradılan bir sıra publik hüquqi şəxslərin fəaliyyətinin yenidən təşkili ilə bağlı tədbirlər haqqında</w:t>
      </w:r>
    </w:p>
    <w:p>
      <w:pPr>
        <w:spacing w:before="0" w:after="160"/>
      </w:pPr>
      <w:r>
        <w:rPr>
          <w:color w:val="333333"/>
          <w:sz w:val="18"/>
        </w:rPr>
        <w:t>Orders the reorganisation of a number of state-created public legal entities. This institutional consolidation reform may affect entities operating under the aegis of specific ministries. Full details of which entities are affected will be published in the official gazette.</w:t>
      </w:r>
    </w:p>
    <w:p>
      <w:pPr>
        <w:spacing w:before="0" w:after="0"/>
        <w:pBdr>
          <w:bottom w:val="single" w:sz="4" w:space="1" w:color="D0D0D0"/>
        </w:pBdr>
      </w:pPr>
    </w:p>
    <w:p>
      <w:pPr>
        <w:spacing w:before="120" w:after="20"/>
      </w:pPr>
      <w:r>
        <w:rPr>
          <w:b/>
          <w:color w:val="FFFFFF"/>
          <w:sz w:val="14"/>
          <w:shd w:val="clear" w:color="auto" w:fill="2C3E50"/>
        </w:rPr>
        <w:t xml:space="preserve">  FƏRMAN  </w:t>
      </w:r>
      <w:r>
        <w:rPr>
          <w:color w:val="555555"/>
          <w:sz w:val="16"/>
        </w:rPr>
        <w:t xml:space="preserve">  ·  25 Jun 2026</w:t>
      </w:r>
    </w:p>
    <w:p>
      <w:pPr>
        <w:spacing w:before="40" w:after="20"/>
      </w:pPr>
      <w:r>
        <w:rPr>
          <w:b/>
          <w:sz w:val="20"/>
        </w:rPr>
        <w:t>"Digital State Finance" System — Amendment to Charter</w:t>
      </w:r>
    </w:p>
    <w:p>
      <w:pPr>
        <w:spacing w:before="0" w:after="40"/>
      </w:pPr>
      <w:r>
        <w:rPr>
          <w:i/>
          <w:color w:val="555555"/>
          <w:sz w:val="16"/>
        </w:rPr>
        <w:t>"Rəqəmsal dövlət maliyyəsi" informasiya sistemi haqqında Əsasnamədə dəyişiklik edilməsi barədə (Fərman No. 590, 26 yanvar 2026)</w:t>
      </w:r>
    </w:p>
    <w:p>
      <w:pPr>
        <w:spacing w:before="0" w:after="160"/>
      </w:pPr>
      <w:r>
        <w:rPr>
          <w:color w:val="333333"/>
          <w:sz w:val="18"/>
        </w:rPr>
        <w:t>Amends the charter of the 'Digital State Finance' information system originally established by Decree No. 590 (26 January 2026). Refines the system's scope, governance structure, or operating procedures in light of initial implementation experience.</w:t>
      </w:r>
    </w:p>
    <w:p>
      <w:pPr>
        <w:spacing w:before="0" w:after="0"/>
        <w:pBdr>
          <w:bottom w:val="single" w:sz="4" w:space="1" w:color="D0D0D0"/>
        </w:pBdr>
      </w:pPr>
    </w:p>
    <w:p>
      <w:pPr>
        <w:spacing w:before="120" w:after="20"/>
      </w:pPr>
      <w:r>
        <w:rPr>
          <w:b/>
          <w:color w:val="FFFFFF"/>
          <w:sz w:val="14"/>
          <w:shd w:val="clear" w:color="auto" w:fill="2C3E50"/>
        </w:rPr>
        <w:t xml:space="preserve">  FƏRMAN  </w:t>
      </w:r>
      <w:r>
        <w:rPr>
          <w:color w:val="555555"/>
          <w:sz w:val="16"/>
        </w:rPr>
        <w:t xml:space="preserve">  ·  25 Jun 2026</w:t>
      </w:r>
    </w:p>
    <w:p>
      <w:pPr>
        <w:spacing w:before="40" w:after="20"/>
      </w:pPr>
      <w:r>
        <w:rPr>
          <w:b/>
          <w:sz w:val="20"/>
        </w:rPr>
        <w:t>Ratification of Protocol Amending 1994 Workplace Accident Investigation Agreement</w:t>
      </w:r>
    </w:p>
    <w:p>
      <w:pPr>
        <w:spacing w:before="0" w:after="40"/>
      </w:pPr>
      <w:r>
        <w:rPr>
          <w:i/>
          <w:color w:val="555555"/>
          <w:sz w:val="16"/>
        </w:rPr>
        <w:t>"Yaşadıqları dövlətdən kənarda olarkən işçilərlə istehsalatda baş vermiş bədbəxt hadisələrin təhqiqatı qaydası haqqında" 1994-cü il Sazişinə dəyişiklik Protokolunun təsdiq edilməsi barədə</w:t>
      </w:r>
    </w:p>
    <w:p>
      <w:pPr>
        <w:spacing w:before="0" w:after="160"/>
      </w:pPr>
      <w:r>
        <w:rPr>
          <w:color w:val="333333"/>
          <w:sz w:val="18"/>
        </w:rPr>
        <w:t>Approves Azerbaijan's accession to the Protocol amending the 9 December 1994 CIS Agreement on the investigation of workplace accidents occurring outside a worker's home state. Relevant for employers with cross-border operations and labour law practitioners.</w:t>
      </w:r>
    </w:p>
    <w:p>
      <w:pPr>
        <w:spacing w:before="0" w:after="0"/>
        <w:pBdr>
          <w:bottom w:val="single" w:sz="4" w:space="1" w:color="D0D0D0"/>
        </w:pBdr>
      </w:pPr>
    </w:p>
    <w:p>
      <w:pPr>
        <w:spacing w:before="160" w:after="80"/>
        <w:jc w:val="left"/>
      </w:pPr>
      <w:r>
        <w:rPr>
          <w:b/>
          <w:color w:val="1A1A1A"/>
          <w:sz w:val="16"/>
        </w:rPr>
        <w:t>Orders — Sərəncamlar (25 June 2026)</w:t>
      </w:r>
    </w:p>
    <w:p>
      <w:pPr>
        <w:spacing w:before="120" w:after="20"/>
      </w:pPr>
      <w:r>
        <w:rPr>
          <w:b/>
          <w:color w:val="FFFFFF"/>
          <w:sz w:val="14"/>
          <w:shd w:val="clear" w:color="auto" w:fill="4A4A4A"/>
        </w:rPr>
        <w:t xml:space="preserve">  SƏRƏNCAM  </w:t>
      </w:r>
      <w:r>
        <w:rPr>
          <w:color w:val="555555"/>
          <w:sz w:val="16"/>
        </w:rPr>
        <w:t xml:space="preserve">  ·  25 Jun 2026</w:t>
      </w:r>
    </w:p>
    <w:p>
      <w:pPr>
        <w:spacing w:before="40" w:after="20"/>
      </w:pPr>
      <w:r>
        <w:rPr>
          <w:b/>
          <w:sz w:val="20"/>
        </w:rPr>
        <w:t>Posthumous Decorations — Military &amp; Civilian Personnel (Territorial Integrity Operations)</w:t>
      </w:r>
    </w:p>
    <w:p>
      <w:pPr>
        <w:spacing w:before="0" w:after="40"/>
      </w:pPr>
      <w:r>
        <w:rPr>
          <w:i/>
          <w:color w:val="555555"/>
          <w:sz w:val="16"/>
        </w:rPr>
        <w:t>Azərbaycan Respublikasının ərazi bütövlüyünün bərpa edilməsi uğrunda döyüş əməliyyatlarında şəhid olmuş hərbi qulluqçularının və mülki işçilərinin təltif edilməsi haqqında</w:t>
      </w:r>
    </w:p>
    <w:p>
      <w:pPr>
        <w:spacing w:before="0" w:after="160"/>
      </w:pPr>
      <w:r>
        <w:rPr>
          <w:color w:val="333333"/>
          <w:sz w:val="18"/>
        </w:rPr>
        <w:t>Awards posthumous state decorations to military servicemen and civilian employees who fell during combat operations for the restoration of Azerbaijan's territorial integrity. Issued under Article 109(23) of the Constitution.</w:t>
      </w:r>
    </w:p>
    <w:p>
      <w:pPr>
        <w:spacing w:before="0" w:after="0"/>
        <w:pBdr>
          <w:bottom w:val="single" w:sz="4" w:space="1" w:color="D0D0D0"/>
        </w:pBdr>
      </w:pPr>
    </w:p>
    <w:p>
      <w:pPr>
        <w:spacing w:before="120" w:after="20"/>
      </w:pPr>
      <w:r>
        <w:rPr>
          <w:b/>
          <w:color w:val="FFFFFF"/>
          <w:sz w:val="14"/>
          <w:shd w:val="clear" w:color="auto" w:fill="4A4A4A"/>
        </w:rPr>
        <w:t xml:space="preserve">  SƏRƏNCAM  </w:t>
      </w:r>
      <w:r>
        <w:rPr>
          <w:color w:val="555555"/>
          <w:sz w:val="16"/>
        </w:rPr>
        <w:t xml:space="preserve">  ·  25 Jun 2026</w:t>
      </w:r>
    </w:p>
    <w:p>
      <w:pPr>
        <w:spacing w:before="40" w:after="20"/>
      </w:pPr>
      <w:r>
        <w:rPr>
          <w:b/>
          <w:sz w:val="20"/>
        </w:rPr>
        <w:t>Decorations — Ministry of Defence Military Personnel</w:t>
      </w:r>
    </w:p>
    <w:p>
      <w:pPr>
        <w:spacing w:before="0" w:after="40"/>
      </w:pPr>
      <w:r>
        <w:rPr>
          <w:i/>
          <w:color w:val="555555"/>
          <w:sz w:val="16"/>
        </w:rPr>
        <w:t>Azərbaycan Respublikası Müdafiə Nazirliyinin hərbi qulluqçularının təltif edilməsi haqqında</w:t>
      </w:r>
    </w:p>
    <w:p>
      <w:pPr>
        <w:spacing w:before="0" w:after="160"/>
      </w:pPr>
      <w:r>
        <w:rPr>
          <w:color w:val="333333"/>
          <w:sz w:val="18"/>
        </w:rPr>
        <w:t>Confers state decorations on serving members of the Azerbaijani Armed Forces in recognition of distinguished service in maintaining the country's independence and territorial integrity.</w:t>
      </w:r>
    </w:p>
    <w:p>
      <w:pPr>
        <w:spacing w:before="0" w:after="0"/>
        <w:pBdr>
          <w:bottom w:val="single" w:sz="4" w:space="1" w:color="D0D0D0"/>
        </w:pBdr>
      </w:pPr>
    </w:p>
    <w:p>
      <w:pPr>
        <w:spacing w:before="120" w:after="20"/>
      </w:pPr>
      <w:r>
        <w:rPr>
          <w:b/>
          <w:color w:val="FFFFFF"/>
          <w:sz w:val="14"/>
          <w:shd w:val="clear" w:color="auto" w:fill="4A4A4A"/>
        </w:rPr>
        <w:t xml:space="preserve">  SƏRƏNCAM  </w:t>
      </w:r>
      <w:r>
        <w:rPr>
          <w:color w:val="555555"/>
          <w:sz w:val="16"/>
        </w:rPr>
        <w:t xml:space="preserve">  ·  25 Jun 2026</w:t>
      </w:r>
    </w:p>
    <w:p>
      <w:pPr>
        <w:spacing w:before="40" w:after="20"/>
      </w:pPr>
      <w:r>
        <w:rPr>
          <w:b/>
          <w:sz w:val="20"/>
        </w:rPr>
        <w:t>Promotion to General-Major — Defence Ministry Personnel</w:t>
      </w:r>
    </w:p>
    <w:p>
      <w:pPr>
        <w:spacing w:before="0" w:after="40"/>
      </w:pPr>
      <w:r>
        <w:rPr>
          <w:i/>
          <w:color w:val="555555"/>
          <w:sz w:val="16"/>
        </w:rPr>
        <w:t>Azərbaycan Respublikası Müdafiə Nazirliyinin hərbi qulluqçularına "general-mayor" ali hərbi rütbəsinin verilməsi haqqında</w:t>
      </w:r>
    </w:p>
    <w:p>
      <w:pPr>
        <w:spacing w:before="0" w:after="160"/>
      </w:pPr>
      <w:r>
        <w:rPr>
          <w:color w:val="333333"/>
          <w:sz w:val="18"/>
        </w:rPr>
        <w:t>Confers the senior military rank of General-Major (general-mayor) on designated Ministry of Defence officers. Issued under Article 109(24) of the Constitution.</w:t>
      </w:r>
    </w:p>
    <w:p>
      <w:pPr>
        <w:spacing w:before="0" w:after="0"/>
        <w:pBdr>
          <w:bottom w:val="single" w:sz="4" w:space="1" w:color="D0D0D0"/>
        </w:pBdr>
      </w:pPr>
    </w:p>
    <w:p>
      <w:pPr>
        <w:spacing w:before="160" w:after="80"/>
        <w:jc w:val="left"/>
      </w:pPr>
      <w:r>
        <w:rPr>
          <w:b/>
          <w:color w:val="1A1A1A"/>
          <w:sz w:val="16"/>
        </w:rPr>
        <w:t>New Law Enacted — Qanun (25 June 2026)</w:t>
      </w:r>
    </w:p>
    <w:p>
      <w:pPr>
        <w:spacing w:before="120" w:after="20"/>
      </w:pPr>
      <w:r>
        <w:rPr>
          <w:b/>
          <w:color w:val="FFFFFF"/>
          <w:sz w:val="14"/>
          <w:shd w:val="clear" w:color="auto" w:fill="1A3A1A"/>
        </w:rPr>
        <w:t xml:space="preserve">  LAW  </w:t>
      </w:r>
      <w:r>
        <w:rPr>
          <w:color w:val="555555"/>
          <w:sz w:val="16"/>
        </w:rPr>
        <w:t xml:space="preserve">  ·  25 Jun 2026</w:t>
      </w:r>
    </w:p>
    <w:p>
      <w:pPr>
        <w:spacing w:before="40" w:after="20"/>
      </w:pPr>
      <w:r>
        <w:rPr>
          <w:b/>
          <w:sz w:val="20"/>
        </w:rPr>
        <w:t>Accession to the International Convention on the Control of Harmful Anti-Fouling Systems on Ships (AFS Convention)</w:t>
      </w:r>
    </w:p>
    <w:p>
      <w:pPr>
        <w:spacing w:before="0" w:after="40"/>
      </w:pPr>
      <w:r>
        <w:rPr>
          <w:i/>
          <w:color w:val="555555"/>
          <w:sz w:val="16"/>
        </w:rPr>
        <w:t>"Gəmilərdə zərərli çirklənmə əleyhinə sistemlərə nəzarət haqqında beynəlxalq Konvensiya"ya qoşulmaq barədə Azərbaycan Respublikasının Qanunu</w:t>
      </w:r>
    </w:p>
    <w:p>
      <w:pPr>
        <w:spacing w:before="0" w:after="160"/>
      </w:pPr>
      <w:r>
        <w:rPr>
          <w:color w:val="333333"/>
          <w:sz w:val="18"/>
        </w:rPr>
        <w:t>Azerbaijan formally accedes to the IMO's AFS Convention, which bans harmful anti-fouling paints and coatings on ships. Enacted under Article 95(I)(4) of the Constitution. Practitioners advising on maritime law, shipping operations, or environmental compliance should note the new obligations this introduces for vessels flying the Azerbaijani flag.</w:t>
      </w:r>
    </w:p>
    <w:p>
      <w:pPr>
        <w:spacing w:before="0" w:after="0"/>
        <w:pBdr>
          <w:bottom w:val="single" w:sz="4" w:space="1" w:color="D0D0D0"/>
        </w:pBdr>
      </w:pPr>
    </w:p>
    <w:p>
      <w:pPr>
        <w:spacing w:before="0" w:after="0"/>
        <w:pBdr>
          <w:bottom w:val="single" w:sz="16" w:space="1" w:color="1A1A1A"/>
        </w:pBdr>
      </w:pPr>
    </w:p>
    <w:p>
      <w:pPr>
        <w:spacing w:before="80" w:after="0"/>
      </w:pPr>
      <w:r>
        <w:rPr>
          <w:color w:val="555555"/>
          <w:sz w:val="14"/>
        </w:rPr>
        <w:t xml:space="preserve">İQTISADI KABINET / NAZIRLƏR KABINETI  ·  </w:t>
      </w:r>
      <w:r>
        <w:rPr>
          <w:b/>
          <w:sz w:val="28"/>
        </w:rPr>
        <w:t>Cabinet of Ministers</w:t>
      </w:r>
      <w:r>
        <w:rPr>
          <w:i/>
          <w:color w:val="555555"/>
          <w:sz w:val="16"/>
        </w:rPr>
        <w:t xml:space="preserve">  —  Decisions &amp; Orders — 20–25 June 2026</w:t>
      </w:r>
    </w:p>
    <w:p>
      <w:pPr>
        <w:spacing w:before="0" w:after="0"/>
        <w:pBdr>
          <w:bottom w:val="single" w:sz="6" w:space="1" w:color="CCCCCC"/>
        </w:pBdr>
      </w:pPr>
    </w:p>
    <w:p>
      <w:pPr>
        <w:spacing w:before="40" w:after="80"/>
      </w:pPr>
      <w:r>
        <w:rPr>
          <w:i w:val="0"/>
          <w:color w:val="555555"/>
          <w:sz w:val="19"/>
        </w:rPr>
        <w:t>The Cabinet of Ministers was highly active during this reporting period, issuing ten Decisions (qərarlar) and four Orders (sərəncamlar) between 22 and 25 June 2026. The week's output spans gas supply reform, business environment improvements, tax monitoring rules, public finance management, NGO funding reform, tourism investment, military service, anti-monopoly implementation, and the extension of the special quarantine regime.</w:t>
      </w:r>
    </w:p>
    <w:p>
      <w:pPr>
        <w:spacing w:before="160" w:after="80"/>
        <w:jc w:val="left"/>
      </w:pPr>
      <w:r>
        <w:rPr>
          <w:b/>
          <w:color w:val="1A1A1A"/>
          <w:sz w:val="16"/>
        </w:rPr>
        <w:t>Decisions — Qərarlar</w:t>
      </w:r>
    </w:p>
    <w:p>
      <w:pPr>
        <w:spacing w:before="120" w:after="20"/>
      </w:pPr>
      <w:r>
        <w:rPr>
          <w:b/>
          <w:color w:val="FFFFFF"/>
          <w:sz w:val="14"/>
          <w:shd w:val="clear" w:color="auto" w:fill="2C3E50"/>
        </w:rPr>
        <w:t xml:space="preserve">  DECISION  </w:t>
      </w:r>
      <w:r>
        <w:rPr>
          <w:color w:val="555555"/>
          <w:sz w:val="16"/>
        </w:rPr>
        <w:t xml:space="preserve">  No. 199</w:t>
      </w:r>
      <w:r>
        <w:rPr>
          <w:color w:val="555555"/>
          <w:sz w:val="16"/>
        </w:rPr>
        <w:t xml:space="preserve">  ·  25 Jun 2026</w:t>
      </w:r>
    </w:p>
    <w:p>
      <w:pPr>
        <w:spacing w:before="40" w:after="20"/>
      </w:pPr>
      <w:r>
        <w:rPr>
          <w:b/>
          <w:sz w:val="20"/>
        </w:rPr>
        <w:t>Automobile Transport — Amendments to Cabinet Decisions</w:t>
      </w:r>
    </w:p>
    <w:p>
      <w:pPr>
        <w:spacing w:before="0" w:after="40"/>
      </w:pPr>
      <w:r>
        <w:rPr>
          <w:i/>
          <w:color w:val="555555"/>
          <w:sz w:val="16"/>
        </w:rPr>
        <w:t>"Avtomobil nəqliyyatı haqqında" Qanununun tətbiqi ilə əlaqədar Nazirlər Kabinetinin bəzi qərarlarında dəyişiklik edilməsi barədə</w:t>
      </w:r>
    </w:p>
    <w:p>
      <w:pPr>
        <w:spacing w:before="0" w:after="160"/>
      </w:pPr>
      <w:r>
        <w:rPr>
          <w:color w:val="333333"/>
          <w:sz w:val="18"/>
        </w:rPr>
        <w:t>Consequential amendments to Cabinet decisions implementing Presidential Decree No. 539 (28 November 2025), which applied the Law on Automobile Transport (Law No. 280-VIIQD, 31 October 2025). Aligns subsidiary regulations with the new statutory framework for road freight and passenger transport.</w:t>
      </w:r>
    </w:p>
    <w:p>
      <w:pPr>
        <w:spacing w:before="0" w:after="0"/>
        <w:pBdr>
          <w:bottom w:val="single" w:sz="4" w:space="1" w:color="D0D0D0"/>
        </w:pBdr>
      </w:pPr>
    </w:p>
    <w:p>
      <w:pPr>
        <w:spacing w:before="120" w:after="20"/>
      </w:pPr>
      <w:r>
        <w:rPr>
          <w:b/>
          <w:color w:val="FFFFFF"/>
          <w:sz w:val="14"/>
          <w:shd w:val="clear" w:color="auto" w:fill="2C3E50"/>
        </w:rPr>
        <w:t xml:space="preserve">  DECISION  </w:t>
      </w:r>
      <w:r>
        <w:rPr>
          <w:color w:val="555555"/>
          <w:sz w:val="16"/>
        </w:rPr>
        <w:t xml:space="preserve">  No. 198</w:t>
      </w:r>
      <w:r>
        <w:rPr>
          <w:color w:val="555555"/>
          <w:sz w:val="16"/>
        </w:rPr>
        <w:t xml:space="preserve">  ·  25 Jun 2026</w:t>
      </w:r>
    </w:p>
    <w:p>
      <w:pPr>
        <w:spacing w:before="40" w:after="20"/>
      </w:pPr>
      <w:r>
        <w:rPr>
          <w:b/>
          <w:sz w:val="20"/>
        </w:rPr>
        <w:t>Horizontal Tax Monitoring — Internal Control &amp; Risk Reporting Rules</w:t>
      </w:r>
    </w:p>
    <w:p>
      <w:pPr>
        <w:spacing w:before="0" w:after="40"/>
      </w:pPr>
      <w:r>
        <w:rPr>
          <w:i/>
          <w:color w:val="555555"/>
          <w:sz w:val="16"/>
        </w:rPr>
        <w:t>"Üfüqi monitorinqə qəbul edilən vergi ödəyiciləri tərəfindən daxili nəzarət sisteminin qurulması və mümkün vergi riskləri barədə məlumatın təqdim edilməsi Qaydaları"nın təsdiq edilməsi haqqında</w:t>
      </w:r>
    </w:p>
    <w:p>
      <w:pPr>
        <w:spacing w:before="0" w:after="160"/>
      </w:pPr>
      <w:r>
        <w:rPr>
          <w:color w:val="333333"/>
          <w:sz w:val="18"/>
        </w:rPr>
        <w:t>Approves detailed rules governing the internal control systems that taxpayers admitted to the horizontal monitoring programme must establish, along with the format and procedure for disclosing potential tax risks to the tax authority. Tax practitioners advising large corporate clients should closely analyse the compliance obligations established by this Decision.</w:t>
      </w:r>
    </w:p>
    <w:p>
      <w:pPr>
        <w:spacing w:before="0" w:after="0"/>
        <w:pBdr>
          <w:bottom w:val="single" w:sz="4" w:space="1" w:color="D0D0D0"/>
        </w:pBdr>
      </w:pPr>
    </w:p>
    <w:p>
      <w:pPr>
        <w:spacing w:before="120" w:after="20"/>
      </w:pPr>
      <w:r>
        <w:rPr>
          <w:b/>
          <w:color w:val="FFFFFF"/>
          <w:sz w:val="14"/>
          <w:shd w:val="clear" w:color="auto" w:fill="2C3E50"/>
        </w:rPr>
        <w:t xml:space="preserve">  DECISION  </w:t>
      </w:r>
      <w:r>
        <w:rPr>
          <w:color w:val="555555"/>
          <w:sz w:val="16"/>
        </w:rPr>
        <w:t xml:space="preserve">  No. 196</w:t>
      </w:r>
      <w:r>
        <w:rPr>
          <w:color w:val="555555"/>
          <w:sz w:val="16"/>
        </w:rPr>
        <w:t xml:space="preserve">  ·  25 Jun 2026</w:t>
      </w:r>
    </w:p>
    <w:p>
      <w:pPr>
        <w:spacing w:before="40" w:after="20"/>
      </w:pPr>
      <w:r>
        <w:rPr>
          <w:b/>
          <w:sz w:val="20"/>
        </w:rPr>
        <w:t>SME State Support — Assessment Rules</w:t>
      </w:r>
    </w:p>
    <w:p>
      <w:pPr>
        <w:spacing w:before="0" w:after="40"/>
      </w:pPr>
      <w:r>
        <w:rPr>
          <w:i/>
          <w:color w:val="555555"/>
          <w:sz w:val="16"/>
        </w:rPr>
        <w:t>"Dövlət orqanları tərəfindən mikro, kiçik və orta sahibkarlıq subyektlərinə dəstək göstərilməsinin qiymətləndirilməsi Qaydaları"nın təsdiq edilməsi haqqında</w:t>
      </w:r>
    </w:p>
    <w:p>
      <w:pPr>
        <w:spacing w:before="0" w:after="160"/>
      </w:pPr>
      <w:r>
        <w:rPr>
          <w:color w:val="333333"/>
          <w:sz w:val="18"/>
        </w:rPr>
        <w:t>Adopts rules for assessing the effectiveness of state support provided to micro, small and medium-sized enterprises (MSMEs) by state bodies, state-funded institutions, and MSME support infrastructure bodies. Introduces a performance measurement framework for state-backed MSME programmes.</w:t>
      </w:r>
    </w:p>
    <w:p>
      <w:pPr>
        <w:spacing w:before="0" w:after="0"/>
        <w:pBdr>
          <w:bottom w:val="single" w:sz="4" w:space="1" w:color="D0D0D0"/>
        </w:pBdr>
      </w:pPr>
    </w:p>
    <w:p>
      <w:pPr>
        <w:spacing w:before="120" w:after="20"/>
      </w:pPr>
      <w:r>
        <w:rPr>
          <w:b/>
          <w:color w:val="FFFFFF"/>
          <w:sz w:val="14"/>
          <w:shd w:val="clear" w:color="auto" w:fill="2C3E50"/>
        </w:rPr>
        <w:t xml:space="preserve">  DECISION  </w:t>
      </w:r>
      <w:r>
        <w:rPr>
          <w:color w:val="555555"/>
          <w:sz w:val="16"/>
        </w:rPr>
        <w:t xml:space="preserve">  No. 195</w:t>
      </w:r>
      <w:r>
        <w:rPr>
          <w:color w:val="555555"/>
          <w:sz w:val="16"/>
        </w:rPr>
        <w:t xml:space="preserve">  ·  24 Jun 2026</w:t>
      </w:r>
    </w:p>
    <w:p>
      <w:pPr>
        <w:spacing w:before="40" w:after="20"/>
      </w:pPr>
      <w:r>
        <w:rPr>
          <w:b/>
          <w:sz w:val="20"/>
        </w:rPr>
        <w:t>Special Quarantine Regime — Extension</w:t>
      </w:r>
    </w:p>
    <w:p>
      <w:pPr>
        <w:spacing w:before="0" w:after="40"/>
      </w:pPr>
      <w:r>
        <w:rPr>
          <w:i/>
          <w:color w:val="555555"/>
          <w:sz w:val="16"/>
        </w:rPr>
        <w:t>Azərbaycan Respublikasının ərazisində xüsusi karantin rejiminin müddətinin uzadılması haqqında</w:t>
      </w:r>
    </w:p>
    <w:p>
      <w:pPr>
        <w:spacing w:before="0" w:after="160"/>
      </w:pPr>
      <w:r>
        <w:rPr>
          <w:color w:val="333333"/>
          <w:sz w:val="18"/>
        </w:rPr>
        <w:t>Extends the duration of the special quarantine regime in force on the territory of Azerbaijan. Practitioners and clients in sectors subject to quarantine-related restrictions should verify the new end date and any updated operational requirements.</w:t>
      </w:r>
    </w:p>
    <w:p>
      <w:pPr>
        <w:spacing w:before="0" w:after="0"/>
        <w:pBdr>
          <w:bottom w:val="single" w:sz="4" w:space="1" w:color="D0D0D0"/>
        </w:pBdr>
      </w:pPr>
    </w:p>
    <w:p>
      <w:pPr>
        <w:spacing w:before="120" w:after="20"/>
      </w:pPr>
      <w:r>
        <w:rPr>
          <w:b/>
          <w:color w:val="FFFFFF"/>
          <w:sz w:val="14"/>
          <w:shd w:val="clear" w:color="auto" w:fill="2C3E50"/>
        </w:rPr>
        <w:t xml:space="preserve">  DECISION  </w:t>
      </w:r>
      <w:r>
        <w:rPr>
          <w:color w:val="555555"/>
          <w:sz w:val="16"/>
        </w:rPr>
        <w:t xml:space="preserve">  No. 192</w:t>
      </w:r>
      <w:r>
        <w:rPr>
          <w:color w:val="555555"/>
          <w:sz w:val="16"/>
        </w:rPr>
        <w:t xml:space="preserve">  ·  23 Jun 2026</w:t>
      </w:r>
    </w:p>
    <w:p>
      <w:pPr>
        <w:spacing w:before="40" w:after="20"/>
      </w:pPr>
      <w:r>
        <w:rPr>
          <w:b/>
          <w:sz w:val="20"/>
        </w:rPr>
        <w:t>Anti-Monopoly Reform — Amendments to Cabinet Decisions</w:t>
      </w:r>
    </w:p>
    <w:p>
      <w:pPr>
        <w:spacing w:before="0" w:after="40"/>
      </w:pPr>
      <w:r>
        <w:rPr>
          <w:i/>
          <w:color w:val="555555"/>
          <w:sz w:val="16"/>
        </w:rPr>
        <w:t>"Antiinhisar və istehlak bazarına nəzarət sahələrində idarəetmənin təkmilləşdirilməsi" üzrə Prezidentin 520 nömrəli Fərmanının icrası ilə əlaqədar Nazirlər Kabinetinin bəzi qərarlarında dəyişiklik edilməsi haqqında</w:t>
      </w:r>
    </w:p>
    <w:p>
      <w:pPr>
        <w:spacing w:before="0" w:after="160"/>
      </w:pPr>
      <w:r>
        <w:rPr>
          <w:color w:val="333333"/>
          <w:sz w:val="18"/>
        </w:rPr>
        <w:t>Amends and repeals certain Cabinet decisions in implementation of Presidential Decree No. 520 (6 November 2025) on improving the governance of anti-monopoly regulation and consumer market oversight. Part of the broader reform of Azerbaijan's competition law enforcement architecture.</w:t>
      </w:r>
    </w:p>
    <w:p>
      <w:pPr>
        <w:spacing w:before="0" w:after="0"/>
        <w:pBdr>
          <w:bottom w:val="single" w:sz="4" w:space="1" w:color="D0D0D0"/>
        </w:pBdr>
      </w:pPr>
    </w:p>
    <w:p>
      <w:pPr>
        <w:spacing w:before="120" w:after="20"/>
      </w:pPr>
      <w:r>
        <w:rPr>
          <w:b/>
          <w:color w:val="FFFFFF"/>
          <w:sz w:val="14"/>
          <w:shd w:val="clear" w:color="auto" w:fill="2C3E50"/>
        </w:rPr>
        <w:t xml:space="preserve">  DECISION  </w:t>
      </w:r>
      <w:r>
        <w:rPr>
          <w:color w:val="555555"/>
          <w:sz w:val="16"/>
        </w:rPr>
        <w:t xml:space="preserve">  No. 191</w:t>
      </w:r>
      <w:r>
        <w:rPr>
          <w:color w:val="555555"/>
          <w:sz w:val="16"/>
        </w:rPr>
        <w:t xml:space="preserve">  ·  23 Jun 2026</w:t>
      </w:r>
    </w:p>
    <w:p>
      <w:pPr>
        <w:spacing w:before="40" w:after="20"/>
      </w:pPr>
      <w:r>
        <w:rPr>
          <w:b/>
          <w:sz w:val="20"/>
        </w:rPr>
        <w:t>Active Military Service (Contract) — Admission Rules Amendment</w:t>
      </w:r>
    </w:p>
    <w:p>
      <w:pPr>
        <w:spacing w:before="0" w:after="40"/>
      </w:pPr>
      <w:r>
        <w:rPr>
          <w:i/>
          <w:color w:val="555555"/>
          <w:sz w:val="16"/>
        </w:rPr>
        <w:t>Nazirlər Kabinetinin 21 nömrəli Qərarı ilə təsdiq edilmiş "Bağlaşma əsasında həqiqi hərbi xidmətə daxilolmanın halları və Qaydası"nda dəyişiklik edilməsi haqqında</w:t>
      </w:r>
    </w:p>
    <w:p>
      <w:pPr>
        <w:spacing w:before="0" w:after="160"/>
      </w:pPr>
      <w:r>
        <w:rPr>
          <w:color w:val="333333"/>
          <w:sz w:val="18"/>
        </w:rPr>
        <w:t>Amends the rules on the conditions and procedures for admission to active military service on a contract basis (Cabinet Decision No. 21, 2 February 2015). Adjusts eligibility criteria or administrative procedures for contract military recruitment.</w:t>
      </w:r>
    </w:p>
    <w:p>
      <w:pPr>
        <w:spacing w:before="0" w:after="0"/>
        <w:pBdr>
          <w:bottom w:val="single" w:sz="4" w:space="1" w:color="D0D0D0"/>
        </w:pBdr>
      </w:pPr>
    </w:p>
    <w:p>
      <w:pPr>
        <w:spacing w:before="120" w:after="20"/>
      </w:pPr>
      <w:r>
        <w:rPr>
          <w:b/>
          <w:color w:val="FFFFFF"/>
          <w:sz w:val="14"/>
          <w:shd w:val="clear" w:color="auto" w:fill="2C3E50"/>
        </w:rPr>
        <w:t xml:space="preserve">  DECISION  </w:t>
      </w:r>
      <w:r>
        <w:rPr>
          <w:color w:val="555555"/>
          <w:sz w:val="16"/>
        </w:rPr>
        <w:t xml:space="preserve">  No. 189</w:t>
      </w:r>
      <w:r>
        <w:rPr>
          <w:color w:val="555555"/>
          <w:sz w:val="16"/>
        </w:rPr>
        <w:t xml:space="preserve">  ·  23 Jun 2026</w:t>
      </w:r>
    </w:p>
    <w:p>
      <w:pPr>
        <w:spacing w:before="40" w:after="20"/>
      </w:pPr>
      <w:r>
        <w:rPr>
          <w:b/>
          <w:sz w:val="20"/>
        </w:rPr>
        <w:t>Gas Supply System Rules — New Framework &amp; Revocation of 2023 Decisions</w:t>
      </w:r>
    </w:p>
    <w:p>
      <w:pPr>
        <w:spacing w:before="0" w:after="40"/>
      </w:pPr>
      <w:r>
        <w:rPr>
          <w:i/>
          <w:color w:val="555555"/>
          <w:sz w:val="16"/>
        </w:rPr>
        <w:t>"Qaz təchizatı sisteminə dair Qaydalar"ın təsdiq edilməsi və Nazirlər Kabinetinin 2023-cü il 30 avqust tarixli 297 nömrəli Qərarının ləğv edilməsi barədə</w:t>
      </w:r>
    </w:p>
    <w:p>
      <w:pPr>
        <w:spacing w:before="0" w:after="160"/>
      </w:pPr>
      <w:r>
        <w:rPr>
          <w:color w:val="333333"/>
          <w:sz w:val="18"/>
        </w:rPr>
        <w:t>Adopts comprehensive new Gas Supply System Rules, replacing and revoking Cabinet Decision No. 297 (30 August 2023). This is a significant regulatory reset for the gas sector, consolidating rules on gas distribution, connection procedures, quality standards, and supplier obligations into a single new regulatory instrument. Energy law practitioners should treat this as priority reading.</w:t>
      </w:r>
    </w:p>
    <w:p>
      <w:pPr>
        <w:spacing w:before="0" w:after="0"/>
        <w:pBdr>
          <w:bottom w:val="single" w:sz="4" w:space="1" w:color="D0D0D0"/>
        </w:pBdr>
      </w:pPr>
    </w:p>
    <w:p>
      <w:pPr>
        <w:spacing w:before="120" w:after="20"/>
      </w:pPr>
      <w:r>
        <w:rPr>
          <w:b/>
          <w:color w:val="FFFFFF"/>
          <w:sz w:val="14"/>
          <w:shd w:val="clear" w:color="auto" w:fill="2C3E50"/>
        </w:rPr>
        <w:t xml:space="preserve">  DECISION  </w:t>
      </w:r>
      <w:r>
        <w:rPr>
          <w:color w:val="555555"/>
          <w:sz w:val="16"/>
        </w:rPr>
        <w:t xml:space="preserve">  No. 190</w:t>
      </w:r>
      <w:r>
        <w:rPr>
          <w:color w:val="555555"/>
          <w:sz w:val="16"/>
        </w:rPr>
        <w:t xml:space="preserve">  ·  22 Jun 2026</w:t>
      </w:r>
    </w:p>
    <w:p>
      <w:pPr>
        <w:spacing w:before="40" w:after="20"/>
      </w:pPr>
      <w:r>
        <w:rPr>
          <w:b/>
          <w:sz w:val="20"/>
        </w:rPr>
        <w:t>Mid-Term Target Indicators — Approval of Setting Rules</w:t>
      </w:r>
    </w:p>
    <w:p>
      <w:pPr>
        <w:spacing w:before="0" w:after="40"/>
      </w:pPr>
      <w:r>
        <w:rPr>
          <w:i/>
          <w:color w:val="555555"/>
          <w:sz w:val="16"/>
        </w:rPr>
        <w:t>"Ortamüddətli dövr üçün hədəf göstəricilərinin müəyyən edilməsi Qaydası"nın təsdiq edilməsi haqqında</w:t>
      </w:r>
    </w:p>
    <w:p>
      <w:pPr>
        <w:spacing w:before="0" w:after="160"/>
      </w:pPr>
      <w:r>
        <w:rPr>
          <w:color w:val="333333"/>
          <w:sz w:val="18"/>
        </w:rPr>
        <w:t>Establishes the procedural rules for setting mid-term fiscal and macroeconomic target indicators. Relevant for state budget planning, public sector contracting, and any regulated sector whose performance benchmarks are linked to government medium-term planning targets.</w:t>
      </w:r>
    </w:p>
    <w:p>
      <w:pPr>
        <w:spacing w:before="0" w:after="0"/>
        <w:pBdr>
          <w:bottom w:val="single" w:sz="4" w:space="1" w:color="D0D0D0"/>
        </w:pBdr>
      </w:pPr>
    </w:p>
    <w:p>
      <w:pPr>
        <w:spacing w:before="120" w:after="20"/>
      </w:pPr>
      <w:r>
        <w:rPr>
          <w:b/>
          <w:color w:val="FFFFFF"/>
          <w:sz w:val="14"/>
          <w:shd w:val="clear" w:color="auto" w:fill="2C3E50"/>
        </w:rPr>
        <w:t xml:space="preserve">  DECISION  </w:t>
      </w:r>
      <w:r>
        <w:rPr>
          <w:color w:val="555555"/>
          <w:sz w:val="16"/>
        </w:rPr>
        <w:t xml:space="preserve">  No. 188</w:t>
      </w:r>
      <w:r>
        <w:rPr>
          <w:color w:val="555555"/>
          <w:sz w:val="16"/>
        </w:rPr>
        <w:t xml:space="preserve">  ·  22 Jun 2026</w:t>
      </w:r>
    </w:p>
    <w:p>
      <w:pPr>
        <w:spacing w:before="40" w:after="20"/>
      </w:pPr>
      <w:r>
        <w:rPr>
          <w:b/>
          <w:sz w:val="20"/>
        </w:rPr>
        <w:t>NGO Funding via "Single Window" — State-Financed Bodies &amp; NADAG</w:t>
      </w:r>
    </w:p>
    <w:p>
      <w:pPr>
        <w:spacing w:before="0" w:after="40"/>
      </w:pPr>
      <w:r>
        <w:rPr>
          <w:i/>
          <w:color w:val="555555"/>
          <w:sz w:val="16"/>
        </w:rPr>
        <w:t>"Dövlət büdcəsindən maliyyələşdirilən qurumların qeyri-hökumət təşkilatlarının bütün növ maliyyələşdirilməsinin "bir pəncərə" prinsipi əsasında NADAG ilə birlikdə həyata keçirməsi Qaydası"nın təsdiq edilməsi haqqında</w:t>
      </w:r>
    </w:p>
    <w:p>
      <w:pPr>
        <w:spacing w:before="0" w:after="160"/>
      </w:pPr>
      <w:r>
        <w:rPr>
          <w:color w:val="333333"/>
          <w:sz w:val="18"/>
        </w:rPr>
        <w:t>Approves rules requiring all state budget-funded bodies (including the Youth Fund, SMBDA, and the Social Services Agency) to channel all forms of financing to NGOs — competitions, direct awards, state orders, subsidies — through a 'single window' administered jointly with the Agency for State Support of NGOs (NADAG). Significant for NGOs and for state entities that currently run their own grant programmes.</w:t>
      </w:r>
    </w:p>
    <w:p>
      <w:pPr>
        <w:spacing w:before="0" w:after="0"/>
        <w:pBdr>
          <w:bottom w:val="single" w:sz="4" w:space="1" w:color="D0D0D0"/>
        </w:pBdr>
      </w:pPr>
    </w:p>
    <w:p>
      <w:pPr>
        <w:spacing w:before="120" w:after="20"/>
      </w:pPr>
      <w:r>
        <w:rPr>
          <w:b/>
          <w:color w:val="FFFFFF"/>
          <w:sz w:val="14"/>
          <w:shd w:val="clear" w:color="auto" w:fill="2C3E50"/>
        </w:rPr>
        <w:t xml:space="preserve">  DECISION  </w:t>
      </w:r>
      <w:r>
        <w:rPr>
          <w:color w:val="555555"/>
          <w:sz w:val="16"/>
        </w:rPr>
        <w:t xml:space="preserve">  No. 187</w:t>
      </w:r>
      <w:r>
        <w:rPr>
          <w:color w:val="555555"/>
          <w:sz w:val="16"/>
        </w:rPr>
        <w:t xml:space="preserve">  ·  22 Jun 2026</w:t>
      </w:r>
    </w:p>
    <w:p>
      <w:pPr>
        <w:spacing w:before="40" w:after="20"/>
      </w:pPr>
      <w:r>
        <w:rPr>
          <w:b/>
          <w:sz w:val="20"/>
        </w:rPr>
        <w:t>State Property in Tourism Centres — Lease, Use &amp; Investment Rules</w:t>
      </w:r>
    </w:p>
    <w:p>
      <w:pPr>
        <w:spacing w:before="0" w:after="40"/>
      </w:pPr>
      <w:r>
        <w:rPr>
          <w:i/>
          <w:color w:val="555555"/>
          <w:sz w:val="16"/>
        </w:rPr>
        <w:t>"Turizm mərkəzlərində dövlətə məxsus daşınmaz əmlakın icarəyə və istifadəyə verilməsi və investisiya layihələrinin icra edilməsi Qaydaları"nın təsdiq edilməsi haqqında</w:t>
      </w:r>
    </w:p>
    <w:p>
      <w:pPr>
        <w:spacing w:before="0" w:after="160"/>
      </w:pPr>
      <w:r>
        <w:rPr>
          <w:color w:val="333333"/>
          <w:sz w:val="18"/>
        </w:rPr>
        <w:t>Establishes rules governing the lease, use, and investment development of state-owned immovable property in designated tourism centres. Of direct relevance to hospitality, real estate, and investment practitioners advising on development projects in Azerbaijan's tourism priority zones.</w:t>
      </w:r>
    </w:p>
    <w:p>
      <w:pPr>
        <w:spacing w:before="0" w:after="0"/>
        <w:pBdr>
          <w:bottom w:val="single" w:sz="4" w:space="1" w:color="D0D0D0"/>
        </w:pBdr>
      </w:pPr>
    </w:p>
    <w:p>
      <w:pPr>
        <w:spacing w:before="160" w:after="80"/>
        <w:jc w:val="left"/>
      </w:pPr>
      <w:r>
        <w:rPr>
          <w:b/>
          <w:color w:val="1A1A1A"/>
          <w:sz w:val="16"/>
        </w:rPr>
        <w:t>Orders — Sərəncamlar</w:t>
      </w:r>
    </w:p>
    <w:p>
      <w:pPr>
        <w:spacing w:before="120" w:after="20"/>
      </w:pPr>
      <w:r>
        <w:rPr>
          <w:b/>
          <w:color w:val="FFFFFF"/>
          <w:sz w:val="14"/>
          <w:shd w:val="clear" w:color="auto" w:fill="4A4A4A"/>
        </w:rPr>
        <w:t xml:space="preserve">  ORDER  </w:t>
      </w:r>
      <w:r>
        <w:rPr>
          <w:color w:val="555555"/>
          <w:sz w:val="16"/>
        </w:rPr>
        <w:t xml:space="preserve">  No. 436s</w:t>
      </w:r>
      <w:r>
        <w:rPr>
          <w:color w:val="555555"/>
          <w:sz w:val="16"/>
        </w:rPr>
        <w:t xml:space="preserve">  ·  24 Jun 2026</w:t>
      </w:r>
    </w:p>
    <w:p>
      <w:pPr>
        <w:spacing w:before="40" w:after="20"/>
      </w:pPr>
      <w:r>
        <w:rPr>
          <w:b/>
          <w:sz w:val="20"/>
        </w:rPr>
        <w:t>Entrepreneurial Credit Support — Implementation of Presidential Decree No. 680</w:t>
      </w:r>
    </w:p>
    <w:p>
      <w:pPr>
        <w:spacing w:before="0" w:after="40"/>
      </w:pPr>
      <w:r>
        <w:rPr>
          <w:i/>
          <w:color w:val="555555"/>
          <w:sz w:val="16"/>
        </w:rPr>
        <w:t>"Sahibkarlıq subyektlərinə verilən kreditlər üzrə təminat və faiz subsidiyası mexanizmlərinin təkmilləşdirilməsi haqqında" Prezidentin 680 nömrəli Fərmanının icrasının təmin edilməsi barədə</w:t>
      </w:r>
    </w:p>
    <w:p>
      <w:pPr>
        <w:spacing w:before="0" w:after="160"/>
      </w:pPr>
      <w:r>
        <w:rPr>
          <w:color w:val="333333"/>
          <w:sz w:val="18"/>
        </w:rPr>
        <w:t>Directs government bodies to implement Presidential Decree No. 680 (9 June 2026), which improves the mechanisms for credit guarantees and interest subsidies for businesses. Sets timelines and responsibilities for operationalising the new subsidy framework for lending to SMEs and entrepreneurs.</w:t>
      </w:r>
    </w:p>
    <w:p>
      <w:pPr>
        <w:spacing w:before="0" w:after="0"/>
        <w:pBdr>
          <w:bottom w:val="single" w:sz="4" w:space="1" w:color="D0D0D0"/>
        </w:pBdr>
      </w:pPr>
    </w:p>
    <w:p>
      <w:pPr>
        <w:spacing w:before="120" w:after="20"/>
      </w:pPr>
      <w:r>
        <w:rPr>
          <w:b/>
          <w:color w:val="FFFFFF"/>
          <w:sz w:val="14"/>
          <w:shd w:val="clear" w:color="auto" w:fill="4A4A4A"/>
        </w:rPr>
        <w:t xml:space="preserve">  ORDER  </w:t>
      </w:r>
      <w:r>
        <w:rPr>
          <w:color w:val="555555"/>
          <w:sz w:val="16"/>
        </w:rPr>
        <w:t xml:space="preserve">  No. 430s</w:t>
      </w:r>
      <w:r>
        <w:rPr>
          <w:color w:val="555555"/>
          <w:sz w:val="16"/>
        </w:rPr>
        <w:t xml:space="preserve">  ·  24 Jun 2026</w:t>
      </w:r>
    </w:p>
    <w:p>
      <w:pPr>
        <w:spacing w:before="40" w:after="20"/>
      </w:pPr>
      <w:r>
        <w:rPr>
          <w:b/>
          <w:sz w:val="20"/>
        </w:rPr>
        <w:t>Diplomatic Service Law — Implementation of Presidential Decree No. 688</w:t>
      </w:r>
    </w:p>
    <w:p>
      <w:pPr>
        <w:spacing w:before="0" w:after="40"/>
      </w:pPr>
      <w:r>
        <w:rPr>
          <w:i/>
          <w:color w:val="555555"/>
          <w:sz w:val="16"/>
        </w:rPr>
        <w:t>"Diplomatik xidmət haqqında" Qanununda dəyişiklik barədə Prezidentin 688 nömrəli Fərmanının icrasının təmin edilməsi haqqında</w:t>
      </w:r>
    </w:p>
    <w:p>
      <w:pPr>
        <w:spacing w:before="0" w:after="160"/>
      </w:pPr>
      <w:r>
        <w:rPr>
          <w:color w:val="333333"/>
          <w:sz w:val="18"/>
        </w:rPr>
        <w:t>Implements Presidential Decree No. 688 (19 June 2026) applying the amendments to the Law on Diplomatic Service (Law No. 416-VIIQD, 5 June 2026). Also makes consequential amendments to Presidential Decree No. 331 (17 February 2025). Of interest to practitioners advising on foreign service, diplomatic status, and international protocol.</w:t>
      </w:r>
    </w:p>
    <w:p>
      <w:pPr>
        <w:spacing w:before="0" w:after="0"/>
        <w:pBdr>
          <w:bottom w:val="single" w:sz="4" w:space="1" w:color="D0D0D0"/>
        </w:pBdr>
      </w:pPr>
    </w:p>
    <w:p>
      <w:pPr>
        <w:spacing w:before="120" w:after="20"/>
      </w:pPr>
      <w:r>
        <w:rPr>
          <w:b/>
          <w:color w:val="FFFFFF"/>
          <w:sz w:val="14"/>
          <w:shd w:val="clear" w:color="auto" w:fill="4A4A4A"/>
        </w:rPr>
        <w:t xml:space="preserve">  ORDER  </w:t>
      </w:r>
      <w:r>
        <w:rPr>
          <w:color w:val="555555"/>
          <w:sz w:val="16"/>
        </w:rPr>
        <w:t xml:space="preserve">  No. 424s</w:t>
      </w:r>
      <w:r>
        <w:rPr>
          <w:color w:val="555555"/>
          <w:sz w:val="16"/>
        </w:rPr>
        <w:t xml:space="preserve">  ·  22 Jun 2026</w:t>
      </w:r>
    </w:p>
    <w:p>
      <w:pPr>
        <w:spacing w:before="40" w:after="20"/>
      </w:pPr>
      <w:r>
        <w:rPr>
          <w:b/>
          <w:sz w:val="20"/>
        </w:rPr>
        <w:t>Non-Oil Export Stimulation &amp; Transport Cost Support — Implementation</w:t>
      </w:r>
    </w:p>
    <w:p>
      <w:pPr>
        <w:spacing w:before="0" w:after="40"/>
      </w:pPr>
      <w:r>
        <w:rPr>
          <w:i/>
          <w:color w:val="555555"/>
          <w:sz w:val="16"/>
        </w:rPr>
        <w:t>"Qeyri-neft-qaz mallarının ixracının stimullaşdırılması və daşıma xərclərinin dəstəklənməsi ilə bağlı əlavə tədbirlər haqqında" Prezidentin 681 nömrəli Fərmanının icrasının təmin edilməsi barədə</w:t>
      </w:r>
    </w:p>
    <w:p>
      <w:pPr>
        <w:spacing w:before="0" w:after="160"/>
      </w:pPr>
      <w:r>
        <w:rPr>
          <w:color w:val="333333"/>
          <w:sz w:val="18"/>
        </w:rPr>
        <w:t>Gives effect to Presidential Decree No. 681 (9 June 2026) on additional measures to stimulate the export of non-oil and gas goods and to support transportation costs. Part of the government's economic diversification agenda. Relevant to export-oriented businesses and trade finance practitioners.</w:t>
      </w:r>
    </w:p>
    <w:p>
      <w:pPr>
        <w:spacing w:before="0" w:after="0"/>
        <w:pBdr>
          <w:bottom w:val="single" w:sz="4" w:space="1" w:color="D0D0D0"/>
        </w:pBdr>
      </w:pPr>
    </w:p>
    <w:p>
      <w:pPr>
        <w:spacing w:before="120" w:after="20"/>
      </w:pPr>
      <w:r>
        <w:rPr>
          <w:b/>
          <w:color w:val="FFFFFF"/>
          <w:sz w:val="14"/>
          <w:shd w:val="clear" w:color="auto" w:fill="4A4A4A"/>
        </w:rPr>
        <w:t xml:space="preserve">  ORDER  </w:t>
      </w:r>
      <w:r>
        <w:rPr>
          <w:color w:val="555555"/>
          <w:sz w:val="16"/>
        </w:rPr>
        <w:t xml:space="preserve">  No. 423s</w:t>
      </w:r>
      <w:r>
        <w:rPr>
          <w:color w:val="555555"/>
          <w:sz w:val="16"/>
        </w:rPr>
        <w:t xml:space="preserve">  ·  22 Jun 2026</w:t>
      </w:r>
    </w:p>
    <w:p>
      <w:pPr>
        <w:spacing w:before="40" w:after="20"/>
      </w:pPr>
      <w:r>
        <w:rPr>
          <w:b/>
          <w:sz w:val="20"/>
        </w:rPr>
        <w:t>Baku City Executive Power — Restructuring Implementation</w:t>
      </w:r>
    </w:p>
    <w:p>
      <w:pPr>
        <w:spacing w:before="0" w:after="40"/>
      </w:pPr>
      <w:r>
        <w:rPr>
          <w:i/>
          <w:color w:val="555555"/>
          <w:sz w:val="16"/>
        </w:rPr>
        <w:t>"Bakı Şəhər İcra Hakimiyyətinin strukturunun və idarə edilməsinin təkmilləşdirilməsi haqqında" Prezidentin 683 nömrəli Fərmanının icrasının təmin edilməsi barədə</w:t>
      </w:r>
    </w:p>
    <w:p>
      <w:pPr>
        <w:spacing w:before="0" w:after="160"/>
      </w:pPr>
      <w:r>
        <w:rPr>
          <w:color w:val="333333"/>
          <w:sz w:val="18"/>
        </w:rPr>
        <w:t>Implements Presidential Decree No. 683 (10 June 2026) on improving the structure and management of the Baku City Executive Authority. Practitioners advising on municipal licensing, city planning, and public procurement in Baku should monitor how this restructuring affects permitting and contracting procedures.</w:t>
      </w:r>
    </w:p>
    <w:p>
      <w:pPr>
        <w:spacing w:before="0" w:after="0"/>
        <w:pBdr>
          <w:bottom w:val="single" w:sz="4" w:space="1" w:color="D0D0D0"/>
        </w:pBdr>
      </w:pPr>
    </w:p>
    <w:p>
      <w:pPr>
        <w:spacing w:before="0" w:after="0"/>
        <w:pBdr>
          <w:bottom w:val="single" w:sz="16" w:space="1" w:color="1A1A1A"/>
        </w:pBdr>
      </w:pPr>
    </w:p>
    <w:p>
      <w:pPr>
        <w:spacing w:before="80" w:after="0"/>
      </w:pPr>
      <w:r>
        <w:rPr>
          <w:color w:val="555555"/>
          <w:sz w:val="14"/>
        </w:rPr>
        <w:t xml:space="preserve">PARLIAMENT OF AZERBAIJAN  ·  </w:t>
      </w:r>
      <w:r>
        <w:rPr>
          <w:b/>
          <w:sz w:val="28"/>
        </w:rPr>
        <w:t>Milli Majlis</w:t>
      </w:r>
      <w:r>
        <w:rPr>
          <w:i/>
          <w:color w:val="555555"/>
          <w:sz w:val="16"/>
        </w:rPr>
        <w:t xml:space="preserve">  —  Laws, Decrees, Bills &amp; Reports</w:t>
      </w:r>
    </w:p>
    <w:p>
      <w:pPr>
        <w:spacing w:before="0" w:after="0"/>
        <w:pBdr>
          <w:bottom w:val="single" w:sz="6" w:space="1" w:color="CCCCCC"/>
        </w:pBdr>
      </w:pPr>
    </w:p>
    <w:p>
      <w:pPr>
        <w:spacing w:before="40" w:after="80"/>
      </w:pPr>
      <w:r>
        <w:rPr>
          <w:i w:val="0"/>
          <w:color w:val="555555"/>
          <w:sz w:val="19"/>
        </w:rPr>
        <w:t>The Milli Majlis (National Assembly) did not publish new laws, parliamentary decrees, reports, or bills during the week of 20–27 June 2026. The most recent enacted law (No. 419-VIIQ, establishing Azerbaijan's Embassy in Lisbon, Portugal) dates to 12 June 2026. The most recent batch of bills placed on the parliamentary agenda was submitted on 19 June 2026 — immediately preceding this reporting period.</w:t>
      </w:r>
    </w:p>
    <w:p>
      <w:pPr>
        <w:spacing w:before="80" w:after="160"/>
        <w:shd w:val="clear" w:color="auto" w:fill="F8F8F8"/>
      </w:pPr>
      <w:r>
        <w:rPr>
          <w:color w:val="555555"/>
          <w:sz w:val="17"/>
        </w:rPr>
        <w:t>NOTE — For reference: Seven bills were placed on the legislative agenda on 19 June 2026 (just prior to this period). These include proposed legislation on Land Code reform, Tourism Centre investment rules, and Administrative Offenses Code amendments. They are at the discussion stage and will be tracked in subsequent issues of this Gazette.</w:t>
      </w:r>
    </w:p>
    <w:p>
      <w:pPr>
        <w:spacing w:before="0" w:after="0"/>
        <w:pBdr>
          <w:bottom w:val="single" w:sz="16" w:space="1" w:color="1A1A1A"/>
        </w:pBdr>
      </w:pPr>
    </w:p>
    <w:p>
      <w:pPr>
        <w:spacing w:before="80" w:after="0"/>
      </w:pPr>
      <w:r>
        <w:rPr>
          <w:color w:val="555555"/>
          <w:sz w:val="14"/>
        </w:rPr>
        <w:t xml:space="preserve">ALI MƏHKƏMƏ ORQANI  ·  </w:t>
      </w:r>
      <w:r>
        <w:rPr>
          <w:b/>
          <w:sz w:val="28"/>
        </w:rPr>
        <w:t>Constitutional Court</w:t>
      </w:r>
      <w:r>
        <w:rPr>
          <w:i/>
          <w:color w:val="555555"/>
          <w:sz w:val="16"/>
        </w:rPr>
        <w:t xml:space="preserve">  —  Decisions — constcourt.gov.az</w:t>
      </w:r>
    </w:p>
    <w:p>
      <w:pPr>
        <w:spacing w:before="0" w:after="0"/>
        <w:pBdr>
          <w:bottom w:val="single" w:sz="6" w:space="1" w:color="CCCCCC"/>
        </w:pBdr>
      </w:pPr>
    </w:p>
    <w:p>
      <w:pPr>
        <w:spacing w:before="80" w:after="160"/>
        <w:shd w:val="clear" w:color="auto" w:fill="FFF8E1"/>
      </w:pPr>
      <w:r>
        <w:rPr>
          <w:color w:val="6B5900"/>
          <w:sz w:val="17"/>
        </w:rPr>
        <w:t>⚠  SOURCE TEMPORARILY UNAVAILABLE. The Constitutional Court's decisions portal (constcourt.gov.az) returned an HTTP 503 Service Unavailable error at the time of compilation (27 June 2026). No decisions from the reporting period could be retrieved. This is the second consecutive week in which the portal has been inaccessible. Readers are advised to consult the portal directly.</w:t>
      </w:r>
    </w:p>
    <w:p>
      <w:pPr>
        <w:spacing w:before="0" w:after="0"/>
        <w:pBdr>
          <w:bottom w:val="single" w:sz="16" w:space="1" w:color="1A1A1A"/>
        </w:pBdr>
      </w:pPr>
    </w:p>
    <w:p>
      <w:pPr>
        <w:spacing w:before="80" w:after="0"/>
      </w:pPr>
      <w:r>
        <w:rPr>
          <w:color w:val="555555"/>
          <w:sz w:val="14"/>
        </w:rPr>
        <w:t xml:space="preserve">OFFICIAL LEGISLATIVE DATABASE  ·  </w:t>
      </w:r>
      <w:r>
        <w:rPr>
          <w:b/>
          <w:sz w:val="28"/>
        </w:rPr>
        <w:t>e-Qanun</w:t>
      </w:r>
      <w:r>
        <w:rPr>
          <w:i/>
          <w:color w:val="555555"/>
          <w:sz w:val="16"/>
        </w:rPr>
        <w:t xml:space="preserve">  —  Normative Acts Register — e-qanun.az</w:t>
      </w:r>
    </w:p>
    <w:p>
      <w:pPr>
        <w:spacing w:before="0" w:after="0"/>
        <w:pBdr>
          <w:bottom w:val="single" w:sz="6" w:space="1" w:color="CCCCCC"/>
        </w:pBdr>
      </w:pPr>
    </w:p>
    <w:p>
      <w:pPr>
        <w:spacing w:before="80" w:after="160"/>
        <w:shd w:val="clear" w:color="auto" w:fill="FFF8E1"/>
      </w:pPr>
      <w:r>
        <w:rPr>
          <w:color w:val="6B5900"/>
          <w:sz w:val="17"/>
        </w:rPr>
        <w:t>⚠  DATA NOT EXTRACTABLE. The e-Qanun portal (e-qanun.az) renders its document catalogue dynamically via JavaScript and does not expose a static listing. Readers should consult the portal directly for full consolidated texts of legislation enacted this period. The primary sources in this Gazette (president.az, nk.gov.az, meclis.gov.az) provide authoritative notice of new instruments; e-Qanun provides their official text once gazetted.</w:t>
      </w:r>
    </w:p>
    <w:p>
      <w:pPr>
        <w:spacing w:before="0" w:after="0"/>
        <w:pBdr>
          <w:bottom w:val="single" w:sz="12" w:space="1" w:color="1A1A1A"/>
        </w:pBdr>
      </w:pPr>
    </w:p>
    <w:p>
      <w:pPr>
        <w:spacing w:before="120" w:after="120"/>
        <w:jc w:val="left"/>
      </w:pPr>
      <w:r>
        <w:rPr>
          <w:b/>
          <w:color w:val="1A1A1A"/>
          <w:sz w:val="18"/>
        </w:rPr>
        <w:t>Regulatory Spotlight — Key Themes, Week 26 / 2026</w:t>
      </w:r>
    </w:p>
    <w:p>
      <w:pPr>
        <w:spacing w:before="120" w:after="40"/>
      </w:pPr>
      <w:r>
        <w:rPr>
          <w:b/>
          <w:sz w:val="19"/>
        </w:rPr>
        <w:t>1. Mandatory Health Insurance Overhaul</w:t>
      </w:r>
    </w:p>
    <w:p>
      <w:pPr>
        <w:spacing w:before="0" w:after="160"/>
      </w:pPr>
      <w:r>
        <w:rPr>
          <w:color w:val="333333"/>
          <w:sz w:val="18"/>
        </w:rPr>
        <w:t>The creation of the State Medical Insurance and Expertise Agency, together with consequential amendments across multiple presidential decrees, signals a structural reform of how mandatory health insurance is administered in Azerbaijan. The new agency absorbs functions previously distributed across several bodies. Employers, healthcare providers, and private insurers should prepare for updated compliance obligations as implementing regulations emerge from the new agency in Q3 2026.</w:t>
      </w:r>
    </w:p>
    <w:p>
      <w:pPr>
        <w:spacing w:before="120" w:after="40"/>
      </w:pPr>
      <w:r>
        <w:rPr>
          <w:b/>
          <w:sz w:val="19"/>
        </w:rPr>
        <w:t>2. Digital Customs &amp; State Finance Infrastructure</w:t>
      </w:r>
    </w:p>
    <w:p>
      <w:pPr>
        <w:spacing w:before="0" w:after="160"/>
      </w:pPr>
      <w:r>
        <w:rPr>
          <w:color w:val="333333"/>
          <w:sz w:val="18"/>
        </w:rPr>
        <w:t>Two presidential decrees — the 'Intellectual Customs' system and the amendment to the 'Digital State Finance' charter — represent continued investment in Azerbaijan's digital governance architecture. The AI-assisted customs system has direct implications for import/export clearance timelines, risk-based inspections, and trade documentation. Logistics, customs, and international trade practitioners should note this as a significant procedural shift for cross-border transactions.</w:t>
      </w:r>
    </w:p>
    <w:p>
      <w:pPr>
        <w:spacing w:before="120" w:after="40"/>
      </w:pPr>
      <w:r>
        <w:rPr>
          <w:b/>
          <w:sz w:val="19"/>
        </w:rPr>
        <w:t>3. Gas Supply Reform — Full Regulatory Reset</w:t>
      </w:r>
    </w:p>
    <w:p>
      <w:pPr>
        <w:spacing w:before="0" w:after="160"/>
      </w:pPr>
      <w:r>
        <w:rPr>
          <w:color w:val="333333"/>
          <w:sz w:val="18"/>
        </w:rPr>
        <w:t>Cabinet Decision No. 189 replaces the gas distribution rulebook. The revocation of the 2023 framework and adoption of new comprehensive Rules signals a deliberate consolidation effort. Agreements referencing the previous regulatory regime may require review. This is consistent with the broader pattern of gas sector reform since the enactment of the Law on Gas Supply (Law No. 233-VIIQ, 8 July 2025). Legal teams advising energy clients should flag the need for a regulatory impact assessment.</w:t>
      </w:r>
    </w:p>
    <w:p>
      <w:pPr>
        <w:spacing w:before="120" w:after="40"/>
      </w:pPr>
      <w:r>
        <w:rPr>
          <w:b/>
          <w:sz w:val="19"/>
        </w:rPr>
        <w:t>4. Export Diversification &amp; SME Finance</w:t>
      </w:r>
    </w:p>
    <w:p>
      <w:pPr>
        <w:spacing w:before="0" w:after="160"/>
      </w:pPr>
      <w:r>
        <w:rPr>
          <w:color w:val="333333"/>
          <w:sz w:val="18"/>
        </w:rPr>
        <w:t>Three instruments form a coherent policy cluster on economic diversification: Order No. 436s (credit subsidies for entrepreneurs), Order No. 424s (non-oil export stimulation and transport cost support), and Decision No. 196 (SME support effectiveness assessment). Together these implement presidential decrees from 9 June 2026. Firms advising SME clients or export-oriented businesses should flag the availability of new subsidy instruments and assess client eligibility once implementing rules are published.</w:t>
      </w:r>
    </w:p>
    <w:p>
      <w:pPr>
        <w:spacing w:before="0" w:after="0"/>
        <w:pBdr>
          <w:bottom w:val="single" w:sz="16" w:space="1" w:color="1A1A1A"/>
        </w:pBdr>
      </w:pPr>
    </w:p>
    <w:p>
      <w:pPr>
        <w:spacing w:before="120" w:after="0"/>
      </w:pPr>
      <w:r>
        <w:rPr>
          <w:b/>
          <w:sz w:val="15"/>
        </w:rPr>
        <w:t>Omni Law Gazette</w:t>
      </w:r>
      <w:r>
        <w:rPr>
          <w:color w:val="555555"/>
          <w:sz w:val="15"/>
        </w:rPr>
        <w:t xml:space="preserve"> is an internal digest compiled by Omni Law Firm for informational purposes only. It does not constitute legal advice. Descriptions are derived from official government portals; readers should consult primary sources before relying on any item. Sources: president.az · nk.gov.az · meclis.gov.az · e-qanun.az · constcourt.gov.az</w:t>
      </w:r>
    </w:p>
    <w:p>
      <w:pPr>
        <w:spacing w:before="40"/>
        <w:jc w:val="right"/>
      </w:pPr>
      <w:r>
        <w:rPr>
          <w:color w:val="555555"/>
          <w:sz w:val="15"/>
        </w:rPr>
        <w:t>Issue No. 3  ·  Week of 20–27 June 2026  ·  Compiled: 27 June 2026  ·  © 2026 Omni Law Firm</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