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1A1A" w:sz="24" w:space="6"/>
        </w:pBdr>
        <w:spacing w:after="0"/>
        <w:jc w:val="center"/>
      </w:pPr>
    </w:p>
    <w:p>
      <w:pPr>
        <w:spacing w:after="0" w:before="160"/>
        <w:jc w:val="center"/>
      </w:pPr>
      <w:r>
        <w:rPr>
          <w:b/>
          <w:bCs/>
          <w:sz w:val="68"/>
          <w:szCs w:val="68"/>
        </w:rPr>
        <w:t xml:space="preserve">OMNI </w:t>
      </w:r>
      <w:r>
        <w:rPr>
          <w:b w:val="false"/>
          <w:bCs w:val="false"/>
          <w:i/>
          <w:iCs/>
          <w:sz w:val="60"/>
          <w:szCs w:val="60"/>
        </w:rPr>
        <w:t xml:space="preserve">Law</w:t>
      </w:r>
      <w:r>
        <w:rPr>
          <w:b/>
          <w:bCs/>
          <w:sz w:val="68"/>
          <w:szCs w:val="68"/>
        </w:rPr>
        <w:t xml:space="preserve"> GAZETTE</w:t>
      </w:r>
    </w:p>
    <w:p>
      <w:pPr>
        <w:spacing w:after="120" w:before="60"/>
        <w:jc w:val="center"/>
      </w:pPr>
      <w:r>
        <w:rPr>
          <w:rFonts w:ascii="Arial" w:cs="Arial" w:eastAsia="Arial" w:hAnsi="Arial"/>
          <w:color w:val="444444"/>
          <w:spacing w:val="30"/>
          <w:sz w:val="16"/>
          <w:szCs w:val="16"/>
        </w:rPr>
        <w:t xml:space="preserve">LEGISLATIVE INTELLIGENCE FOR LEGAL PROFESSIONALS</w:t>
      </w:r>
    </w:p>
    <w:p>
      <w:pPr>
        <w:pBdr>
          <w:bottom w:val="single" w:color="1A1A1A" w:sz="20" w:space="6"/>
        </w:pBdr>
        <w:spacing w:after="80"/>
      </w:pPr>
    </w:p>
    <w:p>
      <w:pPr>
        <w:tabs>
          <w:tab w:val="center" w:pos="4824"/>
          <w:tab w:val="right" w:pos="9648"/>
        </w:tabs>
        <w:spacing w:after="300"/>
      </w:pPr>
      <w:r>
        <w:rPr>
          <w:rFonts w:ascii="Arial" w:cs="Arial" w:eastAsia="Arial" w:hAnsi="Arial"/>
          <w:b/>
          <w:bCs/>
          <w:color w:val="555555"/>
          <w:sz w:val="15"/>
          <w:szCs w:val="15"/>
        </w:rPr>
        <w:t xml:space="preserve">ISSUE No. 6</w:t>
      </w:r>
      <w:r>
        <w:rPr>
          <w:rFonts w:ascii="Arial" w:cs="Arial" w:eastAsia="Arial" w:hAnsi="Arial"/>
          <w:color w:val="555555"/>
          <w:sz w:val="15"/>
          <w:szCs w:val="15"/>
        </w:rPr>
        <w:t xml:space="preserve">	REPORTING PERIOD: 11 JULY – 22 JULY 2026</w:t>
      </w:r>
      <w:r>
        <w:rPr>
          <w:rFonts w:ascii="Arial" w:cs="Arial" w:eastAsia="Arial" w:hAnsi="Arial"/>
          <w:color w:val="555555"/>
          <w:sz w:val="15"/>
          <w:szCs w:val="15"/>
        </w:rPr>
        <w:t xml:space="preserve">	PUBLISHED: WEDNESDAY, 22 JULY 2026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shd w:fill="1A1A1A" w:val="clear"/>
            <w:tcMar>
              <w:top w:type="dxa" w:w="100"/>
              <w:left w:type="dxa" w:w="100"/>
              <w:bottom w:type="dxa" w:w="100"/>
              <w:right w:type="dxa" w:w="100"/>
            </w:tcMar>
          </w:tcPr>
          <w:p>
            <w:pPr>
              <w:jc w:val="center"/>
            </w:pPr>
            <w:r>
              <w:rPr>
                <w:rFonts w:ascii="Arial" w:cs="Arial" w:eastAsia="Arial" w:hAnsi="Arial"/>
                <w:b/>
                <w:bCs/>
                <w:color w:val="FFFFFF"/>
                <w:spacing w:val="20"/>
                <w:sz w:val="15"/>
                <w:szCs w:val="15"/>
              </w:rPr>
              <w:t xml:space="preserve">WEEKS 29–30, 2026   ·   REPUBLIC OF AZERBAIJAN   ·   LEGISLATIVE MONITOR</w:t>
            </w:r>
          </w:p>
        </w:tc>
      </w:tr>
    </w:tbl>
    <w:p>
      <w:pPr>
        <w:spacing w:after="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9648"/>
            <w:tcBorders>
              <w:top w:val="single" w:color="CCCCCC" w:sz="4"/>
              <w:left w:val="single" w:color="1A1A1A" w:sz="24"/>
              <w:bottom w:val="single" w:color="CCCCCC" w:sz="4"/>
              <w:right w:val="single" w:color="CCCCCC" w:sz="4"/>
            </w:tcBorders>
            <w:shd w:fill="FAFAFA" w:val="clear"/>
            <w:tcMar>
              <w:top w:type="dxa" w:w="160"/>
              <w:left w:type="dxa" w:w="180"/>
              <w:bottom w:type="dxa" w:w="120"/>
              <w:right w:type="dxa" w:w="180"/>
            </w:tcMar>
          </w:tcPr>
          <w:p>
            <w:pPr>
              <w:pBdr>
                <w:bottom w:val="single" w:color="E0E0E0" w:sz="4" w:space="2"/>
              </w:pBdr>
              <w:spacing w:after="120"/>
            </w:pPr>
            <w:r>
              <w:rPr>
                <w:rFonts w:ascii="Arial" w:cs="Arial" w:eastAsia="Arial" w:hAnsi="Arial"/>
                <w:b/>
                <w:bCs/>
                <w:color w:val="555555"/>
                <w:spacing w:val="20"/>
                <w:sz w:val="13"/>
                <w:szCs w:val="13"/>
              </w:rPr>
              <w:t xml:space="preserve">THIS WEEK AT A GLANCE</w:t>
            </w:r>
          </w:p>
          <w:tbl>
            <w:tblPr>
              <w:tblW w:type="dxa" w:w="928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Mar>
                    <w:top w:type="dxa" w:w="120"/>
                    <w:left w:type="dxa" w:w="80"/>
                    <w:bottom w:type="dxa" w:w="120"/>
                    <w:right w:type="dxa" w:w="80"/>
                  </w:tcMar>
                </w:tcPr>
                <w:p>
                  <w:pPr>
                    <w:jc w:val="center"/>
                  </w:pPr>
                  <w:r>
                    <w:rPr>
                      <w:b/>
                      <w:bCs/>
                      <w:sz w:val="44"/>
                      <w:szCs w:val="44"/>
                    </w:rPr>
                    <w:t xml:space="preserve">19</w:t>
                  </w:r>
                </w:p>
                <w:p>
                  <w:pPr>
                    <w:jc w:val="center"/>
                  </w:pPr>
                  <w:r>
                    <w:rPr>
                      <w:rFonts w:ascii="Arial" w:cs="Arial" w:eastAsia="Arial" w:hAnsi="Arial"/>
                      <w:color w:val="555555"/>
                      <w:sz w:val="14"/>
                      <w:szCs w:val="14"/>
                    </w:rPr>
                    <w:t xml:space="preserve">Bills tabled at Milli Majlis (14 Jul)</w:t>
                  </w:r>
                </w:p>
              </w:tc>
              <w:tc>
                <w:tcPr>
                  <w:tcW w:type="dxa" w:w="2412"/>
                  <w:tcMar>
                    <w:top w:type="dxa" w:w="120"/>
                    <w:left w:type="dxa" w:w="80"/>
                    <w:bottom w:type="dxa" w:w="120"/>
                    <w:right w:type="dxa" w:w="80"/>
                  </w:tcMar>
                </w:tcPr>
                <w:p>
                  <w:pPr>
                    <w:jc w:val="center"/>
                  </w:pPr>
                  <w:r>
                    <w:rPr>
                      <w:b/>
                      <w:bCs/>
                      <w:sz w:val="44"/>
                      <w:szCs w:val="44"/>
                    </w:rPr>
                    <w:t xml:space="preserve">10</w:t>
                  </w:r>
                </w:p>
                <w:p>
                  <w:pPr>
                    <w:jc w:val="center"/>
                  </w:pPr>
                  <w:r>
                    <w:rPr>
                      <w:rFonts w:ascii="Arial" w:cs="Arial" w:eastAsia="Arial" w:hAnsi="Arial"/>
                      <w:color w:val="555555"/>
                      <w:sz w:val="14"/>
                      <w:szCs w:val="14"/>
                    </w:rPr>
                    <w:t xml:space="preserve">Cabinet of Ministers Decisions</w:t>
                  </w:r>
                </w:p>
              </w:tc>
              <w:tc>
                <w:tcPr>
                  <w:tcW w:type="dxa" w:w="2412"/>
                  <w:tcMar>
                    <w:top w:type="dxa" w:w="120"/>
                    <w:left w:type="dxa" w:w="80"/>
                    <w:bottom w:type="dxa" w:w="120"/>
                    <w:right w:type="dxa" w:w="80"/>
                  </w:tcMar>
                </w:tcPr>
                <w:p>
                  <w:pPr>
                    <w:jc w:val="center"/>
                  </w:pPr>
                  <w:r>
                    <w:rPr>
                      <w:b/>
                      <w:bCs/>
                      <w:sz w:val="44"/>
                      <w:szCs w:val="44"/>
                    </w:rPr>
                    <w:t xml:space="preserve">5</w:t>
                  </w:r>
                </w:p>
                <w:p>
                  <w:pPr>
                    <w:jc w:val="center"/>
                  </w:pPr>
                  <w:r>
                    <w:rPr>
                      <w:rFonts w:ascii="Arial" w:cs="Arial" w:eastAsia="Arial" w:hAnsi="Arial"/>
                      <w:color w:val="555555"/>
                      <w:sz w:val="14"/>
                      <w:szCs w:val="14"/>
                    </w:rPr>
                    <w:t xml:space="preserve">Cabinet of Ministers Orders</w:t>
                  </w:r>
                </w:p>
              </w:tc>
              <w:tc>
                <w:tcPr>
                  <w:tcW w:type="dxa" w:w="2412"/>
                  <w:tcMar>
                    <w:top w:type="dxa" w:w="120"/>
                    <w:left w:type="dxa" w:w="80"/>
                    <w:bottom w:type="dxa" w:w="120"/>
                    <w:right w:type="dxa" w:w="80"/>
                  </w:tcMar>
                </w:tcPr>
                <w:p>
                  <w:pPr>
                    <w:jc w:val="center"/>
                  </w:pPr>
                  <w:r>
                    <w:rPr>
                      <w:b/>
                      <w:bCs/>
                      <w:sz w:val="44"/>
                      <w:szCs w:val="44"/>
                    </w:rPr>
                    <w:t xml:space="preserve">10</w:t>
                  </w:r>
                </w:p>
                <w:p>
                  <w:pPr>
                    <w:jc w:val="center"/>
                  </w:pPr>
                  <w:r>
                    <w:rPr>
                      <w:rFonts w:ascii="Arial" w:cs="Arial" w:eastAsia="Arial" w:hAnsi="Arial"/>
                      <w:color w:val="555555"/>
                      <w:sz w:val="14"/>
                      <w:szCs w:val="14"/>
                    </w:rPr>
                    <w:t xml:space="preserve">Presidential Diplomatic Items</w:t>
                  </w:r>
                </w:p>
              </w:tc>
            </w:tr>
          </w:tbl>
          <w:p/>
        </w:tc>
      </w:tr>
    </w:tbl>
    <w:p>
      <w:pPr>
        <w:spacing w:after="200"/>
      </w:pPr>
    </w:p>
    <w:p>
      <w:pPr>
        <w:pBdr>
          <w:top w:val="single" w:color="1A1A1A" w:sz="12" w:space="4"/>
          <w:bottom w:val="single" w:color="CCCCCC" w:sz="4" w:space="4"/>
        </w:pBdr>
        <w:tabs>
          <w:tab w:val="right" w:pos="9648"/>
        </w:tabs>
        <w:spacing w:after="120" w:before="320"/>
      </w:pPr>
      <w:r>
        <w:rPr>
          <w:rFonts w:ascii="Arial" w:cs="Arial" w:eastAsia="Arial" w:hAnsi="Arial"/>
          <w:b w:val="false"/>
          <w:bCs w:val="false"/>
          <w:color w:val="777777"/>
          <w:spacing w:val="16"/>
          <w:sz w:val="13"/>
          <w:szCs w:val="13"/>
        </w:rPr>
        <w:t xml:space="preserve">PARLIAMENT OF AZERBAIJAN   </w:t>
      </w:r>
      <w:r>
        <w:rPr>
          <w:b/>
          <w:bCs/>
          <w:sz w:val="30"/>
          <w:szCs w:val="30"/>
        </w:rPr>
        <w:br/>
        <w:t xml:space="preserve">Milli Majlis</w:t>
      </w:r>
      <w:r>
        <w:rPr>
          <w:rFonts w:ascii="Arial" w:cs="Arial" w:eastAsia="Arial" w:hAnsi="Arial"/>
          <w:i/>
          <w:iCs/>
          <w:color w:val="888888"/>
          <w:sz w:val="16"/>
          <w:szCs w:val="16"/>
        </w:rPr>
        <w:t xml:space="preserve">	Bills &amp; Legislation — 14 July 2026</w:t>
      </w:r>
    </w:p>
    <w:p>
      <w:pPr>
        <w:spacing w:after="160"/>
      </w:pPr>
      <w:r>
        <w:rPr>
          <w:rFonts w:ascii="Arial" w:cs="Arial" w:eastAsia="Arial" w:hAnsi="Arial"/>
          <w:i w:val="false"/>
          <w:iCs w:val="false"/>
          <w:color w:val="555555"/>
          <w:sz w:val="18"/>
          <w:szCs w:val="18"/>
        </w:rPr>
        <w:t xml:space="preserve">The Milli Majlis tabled a single, unusually large batch of 19 bills on 14 July 2026, touching the Constitutional Law on Normative Legal Acts and amending large parts of the Civil, Criminal, Tax, Labor, Land, Administrative Offenses and Migration Codes in one sitting. This is the broadest omnibus package logged since the Gazette began tracking in June. One new law entered the register during the reporting period: Law No. 447-VIIQD (13 July), amending the Law "On State Procurement".</w:t>
      </w:r>
    </w:p>
    <w:p>
      <w:pPr>
        <w:spacing w:after="100"/>
        <w:ind w:left="431"/>
      </w:pPr>
      <w:r>
        <w:rPr>
          <w:b/>
          <w:bCs/>
          <w:sz w:val="19"/>
          <w:szCs w:val="19"/>
        </w:rPr>
        <w:t xml:space="preserve">1. </w:t>
      </w:r>
      <w:r>
        <w:rPr>
          <w:b/>
          <w:bCs/>
          <w:sz w:val="19"/>
          <w:szCs w:val="19"/>
        </w:rPr>
        <w:t xml:space="preserve">Constitutional Law "On Normative Legal Acts" — Amendment</w:t>
      </w:r>
      <w:r>
        <w:rPr>
          <w:rFonts w:ascii="Arial" w:cs="Arial" w:eastAsia="Arial" w:hAnsi="Arial"/>
          <w:i/>
          <w:iCs/>
          <w:color w:val="888888"/>
          <w:sz w:val="15"/>
          <w:szCs w:val="15"/>
        </w:rPr>
        <w:t xml:space="preserve">  —  Tabled</w:t>
      </w:r>
      <w:r>
        <w:rPr>
          <w:color w:val="555555"/>
          <w:sz w:val="17"/>
          <w:szCs w:val="17"/>
        </w:rPr>
        <w:br/>
        <w:t xml:space="preserve">Changes to the framework law governing how normative acts are drafted, adopted, and hierarchically ranked.</w:t>
      </w:r>
    </w:p>
    <w:p>
      <w:pPr>
        <w:spacing w:after="100"/>
        <w:ind w:left="431"/>
      </w:pPr>
      <w:r>
        <w:rPr>
          <w:b/>
          <w:bCs/>
          <w:sz w:val="19"/>
          <w:szCs w:val="19"/>
        </w:rPr>
        <w:t xml:space="preserve">2. </w:t>
      </w:r>
      <w:r>
        <w:rPr>
          <w:b/>
          <w:bCs/>
          <w:sz w:val="19"/>
          <w:szCs w:val="19"/>
        </w:rPr>
        <w:t xml:space="preserve">Public Service &amp; Media Laws — Joint Amendment</w:t>
      </w:r>
      <w:r>
        <w:rPr>
          <w:rFonts w:ascii="Arial" w:cs="Arial" w:eastAsia="Arial" w:hAnsi="Arial"/>
          <w:i/>
          <w:iCs/>
          <w:color w:val="888888"/>
          <w:sz w:val="15"/>
          <w:szCs w:val="15"/>
        </w:rPr>
        <w:t xml:space="preserve">  —  Tabled</w:t>
      </w:r>
      <w:r>
        <w:rPr>
          <w:color w:val="555555"/>
          <w:sz w:val="17"/>
          <w:szCs w:val="17"/>
        </w:rPr>
        <w:br/>
        <w:t xml:space="preserve">Simultaneous amendments to the Laws "On Public Service" and "On Media".</w:t>
      </w:r>
    </w:p>
    <w:p>
      <w:pPr>
        <w:spacing w:after="100"/>
        <w:ind w:left="431"/>
      </w:pPr>
      <w:r>
        <w:rPr>
          <w:b/>
          <w:bCs/>
          <w:sz w:val="19"/>
          <w:szCs w:val="19"/>
        </w:rPr>
        <w:t xml:space="preserve">3. </w:t>
      </w:r>
      <w:r>
        <w:rPr>
          <w:b/>
          <w:bCs/>
          <w:sz w:val="19"/>
          <w:szCs w:val="19"/>
        </w:rPr>
        <w:t xml:space="preserve">Law "On Crowdfunding"</w:t>
      </w:r>
      <w:r>
        <w:rPr>
          <w:rFonts w:ascii="Arial" w:cs="Arial" w:eastAsia="Arial" w:hAnsi="Arial"/>
          <w:i/>
          <w:iCs/>
          <w:color w:val="888888"/>
          <w:sz w:val="15"/>
          <w:szCs w:val="15"/>
        </w:rPr>
        <w:t xml:space="preserve">  —  Tabled — New Law</w:t>
      </w:r>
      <w:r>
        <w:rPr>
          <w:color w:val="555555"/>
          <w:sz w:val="17"/>
          <w:szCs w:val="17"/>
        </w:rPr>
        <w:br/>
        <w:t xml:space="preserve">New standalone law establishing a legal regime for crowdfunding platforms and offerings.</w:t>
      </w:r>
    </w:p>
    <w:p>
      <w:pPr>
        <w:spacing w:after="100"/>
        <w:ind w:left="431"/>
      </w:pPr>
      <w:r>
        <w:rPr>
          <w:b/>
          <w:bCs/>
          <w:sz w:val="19"/>
          <w:szCs w:val="19"/>
        </w:rPr>
        <w:t xml:space="preserve">4. </w:t>
      </w:r>
      <w:r>
        <w:rPr>
          <w:b/>
          <w:bCs/>
          <w:sz w:val="19"/>
          <w:szCs w:val="19"/>
        </w:rPr>
        <w:t xml:space="preserve">Omnibus Code Amendment I — Civil, Criminal &amp; Tax Codes</w:t>
      </w:r>
      <w:r>
        <w:rPr>
          <w:rFonts w:ascii="Arial" w:cs="Arial" w:eastAsia="Arial" w:hAnsi="Arial"/>
          <w:i/>
          <w:iCs/>
          <w:color w:val="888888"/>
          <w:sz w:val="15"/>
          <w:szCs w:val="15"/>
        </w:rPr>
        <w:t xml:space="preserve">  —  Tabled</w:t>
      </w:r>
      <w:r>
        <w:rPr>
          <w:color w:val="555555"/>
          <w:sz w:val="17"/>
          <w:szCs w:val="17"/>
        </w:rPr>
        <w:br/>
        <w:t xml:space="preserve">Multi-code package amending civil, criminal, and tax provisions.</w:t>
      </w:r>
    </w:p>
    <w:p>
      <w:pPr>
        <w:spacing w:after="100"/>
        <w:ind w:left="431"/>
      </w:pPr>
      <w:r>
        <w:rPr>
          <w:b/>
          <w:bCs/>
          <w:sz w:val="19"/>
          <w:szCs w:val="19"/>
        </w:rPr>
        <w:t xml:space="preserve">5. </w:t>
      </w:r>
      <w:r>
        <w:rPr>
          <w:b/>
          <w:bCs/>
          <w:sz w:val="19"/>
          <w:szCs w:val="19"/>
        </w:rPr>
        <w:t xml:space="preserve">Omnibus Code Amendment II — Labor Code, Civil Code, Currency &amp; Securities</w:t>
      </w:r>
      <w:r>
        <w:rPr>
          <w:rFonts w:ascii="Arial" w:cs="Arial" w:eastAsia="Arial" w:hAnsi="Arial"/>
          <w:i/>
          <w:iCs/>
          <w:color w:val="888888"/>
          <w:sz w:val="15"/>
          <w:szCs w:val="15"/>
        </w:rPr>
        <w:t xml:space="preserve">  —  Tabled</w:t>
      </w:r>
      <w:r>
        <w:rPr>
          <w:color w:val="555555"/>
          <w:sz w:val="17"/>
          <w:szCs w:val="17"/>
        </w:rPr>
        <w:br/>
        <w:t xml:space="preserve">Amendments spanning labor relations, civil law, currency regulation, and securities markets.</w:t>
      </w:r>
    </w:p>
    <w:p>
      <w:pPr>
        <w:spacing w:after="100"/>
        <w:ind w:left="431"/>
      </w:pPr>
      <w:r>
        <w:rPr>
          <w:b/>
          <w:bCs/>
          <w:sz w:val="19"/>
          <w:szCs w:val="19"/>
        </w:rPr>
        <w:t xml:space="preserve">6. </w:t>
      </w:r>
      <w:r>
        <w:rPr>
          <w:b/>
          <w:bCs/>
          <w:sz w:val="19"/>
          <w:szCs w:val="19"/>
        </w:rPr>
        <w:t xml:space="preserve">Omnibus Code Amendment III — Tax, Migration, Social Insurance &amp; Procurement</w:t>
      </w:r>
      <w:r>
        <w:rPr>
          <w:rFonts w:ascii="Arial" w:cs="Arial" w:eastAsia="Arial" w:hAnsi="Arial"/>
          <w:i/>
          <w:iCs/>
          <w:color w:val="888888"/>
          <w:sz w:val="15"/>
          <w:szCs w:val="15"/>
        </w:rPr>
        <w:t xml:space="preserve">  —  Tabled</w:t>
      </w:r>
      <w:r>
        <w:rPr>
          <w:color w:val="555555"/>
          <w:sz w:val="17"/>
          <w:szCs w:val="17"/>
        </w:rPr>
        <w:br/>
        <w:t xml:space="preserve">Amendments to the Tax Code, Migration Code, social insurance rules, customs tariff, and state procurement law.</w:t>
      </w:r>
    </w:p>
    <w:p>
      <w:pPr>
        <w:spacing w:after="100"/>
        <w:ind w:left="431"/>
      </w:pPr>
      <w:r>
        <w:rPr>
          <w:b/>
          <w:bCs/>
          <w:sz w:val="19"/>
          <w:szCs w:val="19"/>
        </w:rPr>
        <w:t xml:space="preserve">7. </w:t>
      </w:r>
      <w:r>
        <w:rPr>
          <w:b/>
          <w:bCs/>
          <w:sz w:val="19"/>
          <w:szCs w:val="19"/>
        </w:rPr>
        <w:t xml:space="preserve">Law "On Information, Informatization and Information Protection" — Amendment</w:t>
      </w:r>
      <w:r>
        <w:rPr>
          <w:rFonts w:ascii="Arial" w:cs="Arial" w:eastAsia="Arial" w:hAnsi="Arial"/>
          <w:i/>
          <w:iCs/>
          <w:color w:val="888888"/>
          <w:sz w:val="15"/>
          <w:szCs w:val="15"/>
        </w:rPr>
        <w:t xml:space="preserve">  —  Tabled</w:t>
      </w:r>
      <w:r>
        <w:rPr>
          <w:color w:val="555555"/>
          <w:sz w:val="17"/>
          <w:szCs w:val="17"/>
        </w:rPr>
        <w:br/>
        <w:t xml:space="preserve">Changes to the core information-security and data-protection statute.</w:t>
      </w:r>
    </w:p>
    <w:p>
      <w:pPr>
        <w:spacing w:after="100"/>
        <w:ind w:left="431"/>
      </w:pPr>
      <w:r>
        <w:rPr>
          <w:b/>
          <w:bCs/>
          <w:sz w:val="19"/>
          <w:szCs w:val="19"/>
        </w:rPr>
        <w:t xml:space="preserve">8. </w:t>
      </w:r>
      <w:r>
        <w:rPr>
          <w:b/>
          <w:bCs/>
          <w:sz w:val="19"/>
          <w:szCs w:val="19"/>
        </w:rPr>
        <w:t xml:space="preserve">Law "On Seed Production" (Toxumçuluq)</w:t>
      </w:r>
      <w:r>
        <w:rPr>
          <w:rFonts w:ascii="Arial" w:cs="Arial" w:eastAsia="Arial" w:hAnsi="Arial"/>
          <w:i/>
          <w:iCs/>
          <w:color w:val="888888"/>
          <w:sz w:val="15"/>
          <w:szCs w:val="15"/>
        </w:rPr>
        <w:t xml:space="preserve">  —  Tabled</w:t>
      </w:r>
      <w:r>
        <w:rPr>
          <w:color w:val="555555"/>
          <w:sz w:val="17"/>
          <w:szCs w:val="17"/>
        </w:rPr>
        <w:br/>
        <w:t xml:space="preserve">Amendment to agricultural seed-selection and certification legislation.</w:t>
      </w:r>
    </w:p>
    <w:p>
      <w:pPr>
        <w:spacing w:after="100"/>
        <w:ind w:left="431"/>
      </w:pPr>
      <w:r>
        <w:rPr>
          <w:b/>
          <w:bCs/>
          <w:sz w:val="19"/>
          <w:szCs w:val="19"/>
        </w:rPr>
        <w:t xml:space="preserve">9. </w:t>
      </w:r>
      <w:r>
        <w:rPr>
          <w:b/>
          <w:bCs/>
          <w:sz w:val="19"/>
          <w:szCs w:val="19"/>
        </w:rPr>
        <w:t xml:space="preserve">Seed Selection, State Fees &amp; Licensing — Related Amendment</w:t>
      </w:r>
      <w:r>
        <w:rPr>
          <w:rFonts w:ascii="Arial" w:cs="Arial" w:eastAsia="Arial" w:hAnsi="Arial"/>
          <w:i/>
          <w:iCs/>
          <w:color w:val="888888"/>
          <w:sz w:val="15"/>
          <w:szCs w:val="15"/>
        </w:rPr>
        <w:t xml:space="preserve">  —  Tabled</w:t>
      </w:r>
      <w:r>
        <w:rPr>
          <w:color w:val="555555"/>
          <w:sz w:val="17"/>
          <w:szCs w:val="17"/>
        </w:rPr>
        <w:br/>
        <w:t xml:space="preserve">Companion amendment aligning state fee and licensing rules with the seed-production changes above.</w:t>
      </w:r>
    </w:p>
    <w:p>
      <w:pPr>
        <w:spacing w:after="100"/>
        <w:ind w:left="431"/>
      </w:pPr>
      <w:r>
        <w:rPr>
          <w:b/>
          <w:bCs/>
          <w:sz w:val="19"/>
          <w:szCs w:val="19"/>
        </w:rPr>
        <w:t xml:space="preserve">10. </w:t>
      </w:r>
      <w:r>
        <w:rPr>
          <w:b/>
          <w:bCs/>
          <w:sz w:val="19"/>
          <w:szCs w:val="19"/>
        </w:rPr>
        <w:t xml:space="preserve">Law "On Fisheries" (Balıqçılıq)</w:t>
      </w:r>
      <w:r>
        <w:rPr>
          <w:rFonts w:ascii="Arial" w:cs="Arial" w:eastAsia="Arial" w:hAnsi="Arial"/>
          <w:i/>
          <w:iCs/>
          <w:color w:val="888888"/>
          <w:sz w:val="15"/>
          <w:szCs w:val="15"/>
        </w:rPr>
        <w:t xml:space="preserve">  —  Tabled</w:t>
      </w:r>
      <w:r>
        <w:rPr>
          <w:color w:val="555555"/>
          <w:sz w:val="17"/>
          <w:szCs w:val="17"/>
        </w:rPr>
        <w:br/>
        <w:t xml:space="preserve">Amendment to fisheries-sector regulation.</w:t>
      </w:r>
    </w:p>
    <w:p>
      <w:pPr>
        <w:spacing w:after="100"/>
        <w:ind w:left="431"/>
      </w:pPr>
      <w:r>
        <w:rPr>
          <w:b/>
          <w:bCs/>
          <w:sz w:val="19"/>
          <w:szCs w:val="19"/>
        </w:rPr>
        <w:t xml:space="preserve">11. </w:t>
      </w:r>
      <w:r>
        <w:rPr>
          <w:b/>
          <w:bCs/>
          <w:sz w:val="19"/>
          <w:szCs w:val="19"/>
        </w:rPr>
        <w:t xml:space="preserve">State Fees &amp; Licensing — Fisheries-Related Amendment</w:t>
      </w:r>
      <w:r>
        <w:rPr>
          <w:rFonts w:ascii="Arial" w:cs="Arial" w:eastAsia="Arial" w:hAnsi="Arial"/>
          <w:i/>
          <w:iCs/>
          <w:color w:val="888888"/>
          <w:sz w:val="15"/>
          <w:szCs w:val="15"/>
        </w:rPr>
        <w:t xml:space="preserve">  —  Tabled</w:t>
      </w:r>
      <w:r>
        <w:rPr>
          <w:color w:val="555555"/>
          <w:sz w:val="17"/>
          <w:szCs w:val="17"/>
        </w:rPr>
        <w:br/>
        <w:t xml:space="preserve">Companion state-fee and licensing amendment tied to the fisheries changes.</w:t>
      </w:r>
    </w:p>
    <w:p>
      <w:pPr>
        <w:spacing w:after="100"/>
        <w:ind w:left="431"/>
      </w:pPr>
      <w:r>
        <w:rPr>
          <w:b/>
          <w:bCs/>
          <w:sz w:val="19"/>
          <w:szCs w:val="19"/>
        </w:rPr>
        <w:t xml:space="preserve">12. </w:t>
      </w:r>
      <w:r>
        <w:rPr>
          <w:b/>
          <w:bCs/>
          <w:sz w:val="19"/>
          <w:szCs w:val="19"/>
        </w:rPr>
        <w:t xml:space="preserve">Land Code, Civil Code &amp; Property Assessment — Amendment I</w:t>
      </w:r>
      <w:r>
        <w:rPr>
          <w:rFonts w:ascii="Arial" w:cs="Arial" w:eastAsia="Arial" w:hAnsi="Arial"/>
          <w:i/>
          <w:iCs/>
          <w:color w:val="888888"/>
          <w:sz w:val="15"/>
          <w:szCs w:val="15"/>
        </w:rPr>
        <w:t xml:space="preserve">  —  Tabled</w:t>
      </w:r>
      <w:r>
        <w:rPr>
          <w:color w:val="555555"/>
          <w:sz w:val="17"/>
          <w:szCs w:val="17"/>
        </w:rPr>
        <w:br/>
        <w:t xml:space="preserve">First of two land-related packages amending the Land Code, Civil Code, and property valuation rules.</w:t>
      </w:r>
    </w:p>
    <w:p>
      <w:pPr>
        <w:spacing w:after="100"/>
        <w:ind w:left="431"/>
      </w:pPr>
      <w:r>
        <w:rPr>
          <w:b/>
          <w:bCs/>
          <w:sz w:val="19"/>
          <w:szCs w:val="19"/>
        </w:rPr>
        <w:t xml:space="preserve">13. </w:t>
      </w:r>
      <w:r>
        <w:rPr>
          <w:b/>
          <w:bCs/>
          <w:sz w:val="19"/>
          <w:szCs w:val="19"/>
        </w:rPr>
        <w:t xml:space="preserve">Land Code &amp; Civil Code — Amendment II</w:t>
      </w:r>
      <w:r>
        <w:rPr>
          <w:rFonts w:ascii="Arial" w:cs="Arial" w:eastAsia="Arial" w:hAnsi="Arial"/>
          <w:i/>
          <w:iCs/>
          <w:color w:val="888888"/>
          <w:sz w:val="15"/>
          <w:szCs w:val="15"/>
        </w:rPr>
        <w:t xml:space="preserve">  —  Tabled</w:t>
      </w:r>
      <w:r>
        <w:rPr>
          <w:color w:val="555555"/>
          <w:sz w:val="17"/>
          <w:szCs w:val="17"/>
        </w:rPr>
        <w:br/>
        <w:t xml:space="preserve">Second, related land-reform package.</w:t>
      </w:r>
    </w:p>
    <w:p>
      <w:pPr>
        <w:spacing w:after="100"/>
        <w:ind w:left="431"/>
      </w:pPr>
      <w:r>
        <w:rPr>
          <w:b/>
          <w:bCs/>
          <w:sz w:val="19"/>
          <w:szCs w:val="19"/>
        </w:rPr>
        <w:t xml:space="preserve">14. </w:t>
      </w:r>
      <w:r>
        <w:rPr>
          <w:b/>
          <w:bCs/>
          <w:sz w:val="19"/>
          <w:szCs w:val="19"/>
        </w:rPr>
        <w:t xml:space="preserve">Code of Administrative Offenses — Amendment</w:t>
      </w:r>
      <w:r>
        <w:rPr>
          <w:rFonts w:ascii="Arial" w:cs="Arial" w:eastAsia="Arial" w:hAnsi="Arial"/>
          <w:i/>
          <w:iCs/>
          <w:color w:val="888888"/>
          <w:sz w:val="15"/>
          <w:szCs w:val="15"/>
        </w:rPr>
        <w:t xml:space="preserve">  —  Tabled</w:t>
      </w:r>
      <w:r>
        <w:rPr>
          <w:color w:val="555555"/>
          <w:sz w:val="17"/>
          <w:szCs w:val="17"/>
        </w:rPr>
        <w:br/>
        <w:t xml:space="preserve">Standalone amendment adjusting sanctions or procedures under the Administrative Offenses Code.</w:t>
      </w:r>
    </w:p>
    <w:p>
      <w:pPr>
        <w:spacing w:after="100"/>
        <w:ind w:left="431"/>
      </w:pPr>
      <w:r>
        <w:rPr>
          <w:b/>
          <w:bCs/>
          <w:sz w:val="19"/>
          <w:szCs w:val="19"/>
        </w:rPr>
        <w:t xml:space="preserve">15. </w:t>
      </w:r>
      <w:r>
        <w:rPr>
          <w:b/>
          <w:bCs/>
          <w:sz w:val="19"/>
          <w:szCs w:val="19"/>
        </w:rPr>
        <w:t xml:space="preserve">Occupational (Workplace) Insurance — Amendment</w:t>
      </w:r>
      <w:r>
        <w:rPr>
          <w:rFonts w:ascii="Arial" w:cs="Arial" w:eastAsia="Arial" w:hAnsi="Arial"/>
          <w:i/>
          <w:iCs/>
          <w:color w:val="888888"/>
          <w:sz w:val="15"/>
          <w:szCs w:val="15"/>
        </w:rPr>
        <w:t xml:space="preserve">  —  Tabled</w:t>
      </w:r>
      <w:r>
        <w:rPr>
          <w:color w:val="555555"/>
          <w:sz w:val="17"/>
          <w:szCs w:val="17"/>
        </w:rPr>
        <w:br/>
        <w:t xml:space="preserve">Changes to mandatory occupational insurance obligations for employers.</w:t>
      </w:r>
    </w:p>
    <w:p>
      <w:pPr>
        <w:spacing w:after="100"/>
        <w:ind w:left="431"/>
      </w:pPr>
      <w:r>
        <w:rPr>
          <w:b/>
          <w:bCs/>
          <w:sz w:val="19"/>
          <w:szCs w:val="19"/>
        </w:rPr>
        <w:t xml:space="preserve">16. </w:t>
      </w:r>
      <w:r>
        <w:rPr>
          <w:b/>
          <w:bCs/>
          <w:sz w:val="19"/>
          <w:szCs w:val="19"/>
        </w:rPr>
        <w:t xml:space="preserve">Medical Insurance &amp; Disability Rights — Amendment</w:t>
      </w:r>
      <w:r>
        <w:rPr>
          <w:rFonts w:ascii="Arial" w:cs="Arial" w:eastAsia="Arial" w:hAnsi="Arial"/>
          <w:i/>
          <w:iCs/>
          <w:color w:val="888888"/>
          <w:sz w:val="15"/>
          <w:szCs w:val="15"/>
        </w:rPr>
        <w:t xml:space="preserve">  —  Tabled</w:t>
      </w:r>
      <w:r>
        <w:rPr>
          <w:color w:val="555555"/>
          <w:sz w:val="17"/>
          <w:szCs w:val="17"/>
        </w:rPr>
        <w:br/>
        <w:t xml:space="preserve">Amendments touching mandatory medical insurance and the rights of persons with disabilities.</w:t>
      </w:r>
    </w:p>
    <w:p>
      <w:pPr>
        <w:spacing w:after="100"/>
        <w:ind w:left="431"/>
      </w:pPr>
      <w:r>
        <w:rPr>
          <w:b/>
          <w:bCs/>
          <w:sz w:val="19"/>
          <w:szCs w:val="19"/>
        </w:rPr>
        <w:t xml:space="preserve">17. </w:t>
      </w:r>
      <w:r>
        <w:rPr>
          <w:b/>
          <w:bCs/>
          <w:sz w:val="19"/>
          <w:szCs w:val="19"/>
        </w:rPr>
        <w:t xml:space="preserve">Migration Code &amp; Registration — Amendment</w:t>
      </w:r>
      <w:r>
        <w:rPr>
          <w:rFonts w:ascii="Arial" w:cs="Arial" w:eastAsia="Arial" w:hAnsi="Arial"/>
          <w:i/>
          <w:iCs/>
          <w:color w:val="888888"/>
          <w:sz w:val="15"/>
          <w:szCs w:val="15"/>
        </w:rPr>
        <w:t xml:space="preserve">  —  Tabled</w:t>
      </w:r>
      <w:r>
        <w:rPr>
          <w:color w:val="555555"/>
          <w:sz w:val="17"/>
          <w:szCs w:val="17"/>
        </w:rPr>
        <w:br/>
        <w:t xml:space="preserve">Changes to migration status and residence-registration procedures.</w:t>
      </w:r>
    </w:p>
    <w:p>
      <w:pPr>
        <w:spacing w:after="100"/>
        <w:ind w:left="431"/>
      </w:pPr>
      <w:r>
        <w:rPr>
          <w:b/>
          <w:bCs/>
          <w:sz w:val="19"/>
          <w:szCs w:val="19"/>
        </w:rPr>
        <w:t xml:space="preserve">18. </w:t>
      </w:r>
      <w:r>
        <w:rPr>
          <w:b/>
          <w:bCs/>
          <w:sz w:val="19"/>
          <w:szCs w:val="19"/>
        </w:rPr>
        <w:t xml:space="preserve">Energy Efficiency Law — Amendment</w:t>
      </w:r>
      <w:r>
        <w:rPr>
          <w:rFonts w:ascii="Arial" w:cs="Arial" w:eastAsia="Arial" w:hAnsi="Arial"/>
          <w:i/>
          <w:iCs/>
          <w:color w:val="888888"/>
          <w:sz w:val="15"/>
          <w:szCs w:val="15"/>
        </w:rPr>
        <w:t xml:space="preserve">  —  Tabled</w:t>
      </w:r>
      <w:r>
        <w:rPr>
          <w:color w:val="555555"/>
          <w:sz w:val="17"/>
          <w:szCs w:val="17"/>
        </w:rPr>
        <w:br/>
        <w:t xml:space="preserve">Further amendment to the energy-efficiency statute, following recent Cabinet activity in the same area (see Regulatory Spotlight).</w:t>
      </w:r>
    </w:p>
    <w:p>
      <w:pPr>
        <w:spacing w:after="100"/>
        <w:ind w:left="431"/>
      </w:pPr>
      <w:r>
        <w:rPr>
          <w:b/>
          <w:bCs/>
          <w:sz w:val="19"/>
          <w:szCs w:val="19"/>
        </w:rPr>
        <w:t xml:space="preserve">19. </w:t>
      </w:r>
      <w:r>
        <w:rPr>
          <w:b/>
          <w:bCs/>
          <w:sz w:val="19"/>
          <w:szCs w:val="19"/>
        </w:rPr>
        <w:t xml:space="preserve">Law "On Aviation" — Amendment</w:t>
      </w:r>
      <w:r>
        <w:rPr>
          <w:rFonts w:ascii="Arial" w:cs="Arial" w:eastAsia="Arial" w:hAnsi="Arial"/>
          <w:i/>
          <w:iCs/>
          <w:color w:val="888888"/>
          <w:sz w:val="15"/>
          <w:szCs w:val="15"/>
        </w:rPr>
        <w:t xml:space="preserve">  —  Tabled</w:t>
      </w:r>
      <w:r>
        <w:rPr>
          <w:color w:val="555555"/>
          <w:sz w:val="17"/>
          <w:szCs w:val="17"/>
        </w:rPr>
        <w:br/>
        <w:t xml:space="preserve">Amendment to the civil aviation statute.</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648"/>
      </w:tblGrid>
      <w:tr>
        <w:tc>
          <w:tcPr>
            <w:tcW w:type="dxa" w:w="9648"/>
            <w:tcBorders>
              <w:top w:val="dashed" w:color="AAAAAA" w:sz="4"/>
              <w:left w:val="dashed" w:color="AAAAAA" w:sz="4"/>
              <w:bottom w:val="dashed" w:color="AAAAAA" w:sz="4"/>
              <w:right w:val="dashed" w:color="AAAAAA" w:sz="4"/>
            </w:tcBorders>
            <w:shd w:fill="F8F8F8" w:val="clear"/>
            <w:tcMar>
              <w:top w:type="dxa" w:w="100"/>
              <w:left w:type="dxa" w:w="140"/>
              <w:bottom w:type="dxa" w:w="100"/>
              <w:right w:type="dxa" w:w="140"/>
            </w:tcMar>
          </w:tcPr>
          <w:p>
            <w:r>
              <w:rPr>
                <w:rFonts w:ascii="Arial" w:cs="Arial" w:eastAsia="Arial" w:hAnsi="Arial"/>
                <w:b/>
                <w:bCs/>
                <w:color w:val="333333"/>
                <w:sz w:val="17"/>
                <w:szCs w:val="17"/>
              </w:rPr>
              <w:t xml:space="preserve">Note on Enacted Legislation: </w:t>
            </w:r>
            <w:r>
              <w:rPr>
                <w:rFonts w:ascii="Arial" w:cs="Arial" w:eastAsia="Arial" w:hAnsi="Arial"/>
                <w:color w:val="555555"/>
                <w:sz w:val="17"/>
                <w:szCs w:val="17"/>
              </w:rPr>
              <w:t xml:space="preserve">Law No. 447-VIIQD (13 July 2026), amending the Law "On State Procurement", surfaced in the register only after our mid-window check — the laws register updates with a lag of several days. The immediately preceding law, No. 441-VIIQD (10 July, customs tariff), sits one day outside this window. Intermediate numbers 442–446 were not yet visible in the public register at compilation time. No parliamentary decrees (qərarlar, cat. 138) or committee reports (cat. 89) were logged for 11–22 July — verify directly on meclis.gov.az before relying on this gap.</w:t>
            </w:r>
          </w:p>
        </w:tc>
      </w:tr>
    </w:tbl>
    <w:p>
      <w:pPr>
        <w:pBdr>
          <w:top w:val="single" w:color="1A1A1A" w:sz="12" w:space="4"/>
          <w:bottom w:val="single" w:color="CCCCCC" w:sz="4" w:space="4"/>
        </w:pBdr>
        <w:tabs>
          <w:tab w:val="right" w:pos="9648"/>
        </w:tabs>
        <w:spacing w:after="120" w:before="320"/>
      </w:pPr>
      <w:r>
        <w:rPr>
          <w:rFonts w:ascii="Arial" w:cs="Arial" w:eastAsia="Arial" w:hAnsi="Arial"/>
          <w:b w:val="false"/>
          <w:bCs w:val="false"/>
          <w:color w:val="777777"/>
          <w:spacing w:val="16"/>
          <w:sz w:val="13"/>
          <w:szCs w:val="13"/>
        </w:rPr>
        <w:t xml:space="preserve">NAZIRLƏR KABINETI   </w:t>
      </w:r>
      <w:r>
        <w:rPr>
          <w:b/>
          <w:bCs/>
          <w:sz w:val="30"/>
          <w:szCs w:val="30"/>
        </w:rPr>
        <w:br/>
        <w:t xml:space="preserve">Cabinet of Ministers</w:t>
      </w:r>
      <w:r>
        <w:rPr>
          <w:rFonts w:ascii="Arial" w:cs="Arial" w:eastAsia="Arial" w:hAnsi="Arial"/>
          <w:i/>
          <w:iCs/>
          <w:color w:val="888888"/>
          <w:sz w:val="16"/>
          <w:szCs w:val="16"/>
        </w:rPr>
        <w:t xml:space="preserve">	Decisions &amp; Orders — 14–22 July 2026</w:t>
      </w:r>
    </w:p>
    <w:p>
      <w:pPr>
        <w:spacing w:after="160"/>
      </w:pPr>
      <w:r>
        <w:rPr>
          <w:rFonts w:ascii="Arial" w:cs="Arial" w:eastAsia="Arial" w:hAnsi="Arial"/>
          <w:i w:val="false"/>
          <w:iCs w:val="false"/>
          <w:color w:val="555555"/>
          <w:sz w:val="18"/>
          <w:szCs w:val="18"/>
        </w:rPr>
        <w:t xml:space="preserve">The Cabinet issued ten Decisions across the period — Nos. 216–218 on 17 July and a seven-decision batch (Nos. 223–229) on 21–22 July — plus implementation Orders between 14 and 17 July. The 21 July batch is the standout: it includes the approval of national priority sectors for artificial intelligence development (No. 226).</w:t>
      </w:r>
    </w:p>
    <w:p>
      <w:pPr>
        <w:pBdr>
          <w:bottom w:val="single" w:color="CCCCCC" w:sz="4" w:space="2"/>
        </w:pBdr>
        <w:spacing w:after="80"/>
      </w:pPr>
      <w:r>
        <w:rPr>
          <w:rFonts w:ascii="Arial" w:cs="Arial" w:eastAsia="Arial" w:hAnsi="Arial"/>
          <w:b/>
          <w:bCs/>
          <w:color w:val="555555"/>
          <w:spacing w:val="16"/>
          <w:sz w:val="15"/>
          <w:szCs w:val="15"/>
        </w:rPr>
        <w:t xml:space="preserve">DECISIONS (QƏRARLAR)</w:t>
      </w:r>
    </w:p>
    <w:p>
      <w:pPr>
        <w:pBdr>
          <w:bottom w:val="dotted" w:color="D0D0D0" w:sz="2" w:space="4"/>
        </w:pBdr>
        <w:tabs>
          <w:tab w:val="right" w:pos="4624"/>
        </w:tabs>
        <w:spacing w:after="160"/>
      </w:pPr>
      <w:r>
        <w:rPr>
          <w:rFonts w:ascii="Arial" w:cs="Arial" w:eastAsia="Arial" w:hAnsi="Arial"/>
          <w:b/>
          <w:bCs/>
          <w:color w:val="FFFFFF"/>
          <w:sz w:val="13"/>
          <w:szCs w:val="13"/>
          <w:shd w:fill="2C3E50" w:val="clear"/>
        </w:rPr>
        <w:t xml:space="preserve">DECISION  </w:t>
      </w:r>
      <w:r>
        <w:rPr>
          <w:rFonts w:ascii="Arial" w:cs="Arial" w:eastAsia="Arial" w:hAnsi="Arial"/>
          <w:color w:val="777777"/>
          <w:sz w:val="15"/>
          <w:szCs w:val="15"/>
        </w:rPr>
        <w:t xml:space="preserve">  No. 216</w:t>
      </w:r>
      <w:r>
        <w:rPr>
          <w:rFonts w:ascii="Arial" w:cs="Arial" w:eastAsia="Arial" w:hAnsi="Arial"/>
          <w:color w:val="888888"/>
          <w:sz w:val="15"/>
          <w:szCs w:val="15"/>
        </w:rPr>
        <w:t xml:space="preserve">	17 Jul 2026</w:t>
      </w:r>
      <w:r>
        <w:rPr>
          <w:b/>
          <w:bCs/>
          <w:sz w:val="20"/>
          <w:szCs w:val="20"/>
        </w:rPr>
        <w:br/>
        <w:t xml:space="preserve">Customs Tariff Nomenclature — Amendment</w:t>
      </w:r>
      <w:r>
        <w:rPr>
          <w:color w:val="333333"/>
          <w:sz w:val="18"/>
          <w:szCs w:val="18"/>
        </w:rPr>
        <w:br/>
        <w:t xml:space="preserve">Modifies the customs tariff nomenclature and associated import/export duty rates for foreign economic activity.</w:t>
      </w:r>
    </w:p>
    <w:p>
      <w:pPr>
        <w:pBdr>
          <w:bottom w:val="dotted" w:color="D0D0D0" w:sz="2" w:space="4"/>
        </w:pBdr>
        <w:tabs>
          <w:tab w:val="right" w:pos="4624"/>
        </w:tabs>
        <w:spacing w:after="160"/>
      </w:pPr>
      <w:r>
        <w:rPr>
          <w:rFonts w:ascii="Arial" w:cs="Arial" w:eastAsia="Arial" w:hAnsi="Arial"/>
          <w:b/>
          <w:bCs/>
          <w:color w:val="FFFFFF"/>
          <w:sz w:val="13"/>
          <w:szCs w:val="13"/>
          <w:shd w:fill="2C3E50" w:val="clear"/>
        </w:rPr>
        <w:t xml:space="preserve">DECISION  </w:t>
      </w:r>
      <w:r>
        <w:rPr>
          <w:rFonts w:ascii="Arial" w:cs="Arial" w:eastAsia="Arial" w:hAnsi="Arial"/>
          <w:color w:val="777777"/>
          <w:sz w:val="15"/>
          <w:szCs w:val="15"/>
        </w:rPr>
        <w:t xml:space="preserve">  No. 217</w:t>
      </w:r>
      <w:r>
        <w:rPr>
          <w:rFonts w:ascii="Arial" w:cs="Arial" w:eastAsia="Arial" w:hAnsi="Arial"/>
          <w:color w:val="888888"/>
          <w:sz w:val="15"/>
          <w:szCs w:val="15"/>
        </w:rPr>
        <w:t xml:space="preserve">	17 Jul 2026</w:t>
      </w:r>
      <w:r>
        <w:rPr>
          <w:b/>
          <w:bCs/>
          <w:sz w:val="20"/>
          <w:szCs w:val="20"/>
        </w:rPr>
        <w:br/>
        <w:t xml:space="preserve">Professional Accountant Certification — Amendment</w:t>
      </w:r>
      <w:r>
        <w:rPr>
          <w:color w:val="333333"/>
          <w:sz w:val="18"/>
          <w:szCs w:val="18"/>
        </w:rPr>
        <w:br/>
        <w:t xml:space="preserve">Amends the 2019 regulations governing professional accountant certification and the related state registry procedures.</w:t>
      </w:r>
    </w:p>
    <w:p>
      <w:pPr>
        <w:pBdr>
          <w:bottom w:val="dotted" w:color="D0D0D0" w:sz="2" w:space="4"/>
        </w:pBdr>
        <w:tabs>
          <w:tab w:val="right" w:pos="4624"/>
        </w:tabs>
        <w:spacing w:after="160"/>
      </w:pPr>
      <w:r>
        <w:rPr>
          <w:rFonts w:ascii="Arial" w:cs="Arial" w:eastAsia="Arial" w:hAnsi="Arial"/>
          <w:b/>
          <w:bCs/>
          <w:color w:val="FFFFFF"/>
          <w:sz w:val="13"/>
          <w:szCs w:val="13"/>
          <w:shd w:fill="2C3E50" w:val="clear"/>
        </w:rPr>
        <w:t xml:space="preserve">DECISION  </w:t>
      </w:r>
      <w:r>
        <w:rPr>
          <w:rFonts w:ascii="Arial" w:cs="Arial" w:eastAsia="Arial" w:hAnsi="Arial"/>
          <w:color w:val="777777"/>
          <w:sz w:val="15"/>
          <w:szCs w:val="15"/>
        </w:rPr>
        <w:t xml:space="preserve">  No. 218</w:t>
      </w:r>
      <w:r>
        <w:rPr>
          <w:rFonts w:ascii="Arial" w:cs="Arial" w:eastAsia="Arial" w:hAnsi="Arial"/>
          <w:color w:val="888888"/>
          <w:sz w:val="15"/>
          <w:szCs w:val="15"/>
        </w:rPr>
        <w:t xml:space="preserve">	17 Jul 2026</w:t>
      </w:r>
      <w:r>
        <w:rPr>
          <w:b/>
          <w:bCs/>
          <w:sz w:val="20"/>
          <w:szCs w:val="20"/>
        </w:rPr>
        <w:br/>
        <w:t xml:space="preserve">Preschool Education Co-Financing Model — Approval</w:t>
      </w:r>
      <w:r>
        <w:rPr>
          <w:color w:val="333333"/>
          <w:sz w:val="18"/>
          <w:szCs w:val="18"/>
        </w:rPr>
        <w:br/>
        <w:t xml:space="preserve">Approves the rules for a new preschool-education financing model based on parent–state–private-sector cooperation.</w:t>
      </w:r>
    </w:p>
    <w:p>
      <w:pPr>
        <w:pBdr>
          <w:bottom w:val="dotted" w:color="D0D0D0" w:sz="2" w:space="4"/>
        </w:pBdr>
        <w:tabs>
          <w:tab w:val="right" w:pos="4624"/>
        </w:tabs>
        <w:spacing w:after="160"/>
      </w:pPr>
      <w:r>
        <w:rPr>
          <w:rFonts w:ascii="Arial" w:cs="Arial" w:eastAsia="Arial" w:hAnsi="Arial"/>
          <w:b/>
          <w:bCs/>
          <w:color w:val="FFFFFF"/>
          <w:sz w:val="13"/>
          <w:szCs w:val="13"/>
          <w:shd w:fill="2C3E50" w:val="clear"/>
        </w:rPr>
        <w:t xml:space="preserve">DECISION  </w:t>
      </w:r>
      <w:r>
        <w:rPr>
          <w:rFonts w:ascii="Arial" w:cs="Arial" w:eastAsia="Arial" w:hAnsi="Arial"/>
          <w:color w:val="777777"/>
          <w:sz w:val="15"/>
          <w:szCs w:val="15"/>
        </w:rPr>
        <w:t xml:space="preserve">  No. 223</w:t>
      </w:r>
      <w:r>
        <w:rPr>
          <w:rFonts w:ascii="Arial" w:cs="Arial" w:eastAsia="Arial" w:hAnsi="Arial"/>
          <w:color w:val="888888"/>
          <w:sz w:val="15"/>
          <w:szCs w:val="15"/>
        </w:rPr>
        <w:t xml:space="preserve">	21 Jul 2026</w:t>
      </w:r>
      <w:r>
        <w:rPr>
          <w:b/>
          <w:bCs/>
          <w:sz w:val="20"/>
          <w:szCs w:val="20"/>
        </w:rPr>
        <w:br/>
        <w:t xml:space="preserve">Placement of Vulnerable Persons in State Social Care — Amendment</w:t>
      </w:r>
      <w:r>
        <w:rPr>
          <w:color w:val="333333"/>
          <w:sz w:val="18"/>
          <w:szCs w:val="18"/>
        </w:rPr>
        <w:br/>
        <w:t xml:space="preserve">Amends the procedures for placing vulnerable persons in state social care facilities.</w:t>
      </w:r>
    </w:p>
    <w:p>
      <w:pPr>
        <w:pBdr>
          <w:bottom w:val="dotted" w:color="D0D0D0" w:sz="2" w:space="4"/>
        </w:pBdr>
        <w:tabs>
          <w:tab w:val="right" w:pos="4624"/>
        </w:tabs>
        <w:spacing w:after="160"/>
      </w:pPr>
      <w:r>
        <w:rPr>
          <w:rFonts w:ascii="Arial" w:cs="Arial" w:eastAsia="Arial" w:hAnsi="Arial"/>
          <w:b/>
          <w:bCs/>
          <w:color w:val="FFFFFF"/>
          <w:sz w:val="13"/>
          <w:szCs w:val="13"/>
          <w:shd w:fill="2C3E50" w:val="clear"/>
        </w:rPr>
        <w:t xml:space="preserve">DECISION  </w:t>
      </w:r>
      <w:r>
        <w:rPr>
          <w:rFonts w:ascii="Arial" w:cs="Arial" w:eastAsia="Arial" w:hAnsi="Arial"/>
          <w:color w:val="777777"/>
          <w:sz w:val="15"/>
          <w:szCs w:val="15"/>
        </w:rPr>
        <w:t xml:space="preserve">  Nos. 224–225</w:t>
      </w:r>
      <w:r>
        <w:rPr>
          <w:rFonts w:ascii="Arial" w:cs="Arial" w:eastAsia="Arial" w:hAnsi="Arial"/>
          <w:color w:val="888888"/>
          <w:sz w:val="15"/>
          <w:szCs w:val="15"/>
        </w:rPr>
        <w:t xml:space="preserve">	21 Jul 2026</w:t>
      </w:r>
      <w:r>
        <w:rPr>
          <w:b/>
          <w:bCs/>
          <w:sz w:val="20"/>
          <w:szCs w:val="20"/>
        </w:rPr>
        <w:br/>
        <w:t xml:space="preserve">Organ Transplantation &amp; Donor Procurement — Institution Lists Updated</w:t>
      </w:r>
      <w:r>
        <w:rPr>
          <w:color w:val="333333"/>
          <w:sz w:val="18"/>
          <w:szCs w:val="18"/>
        </w:rPr>
        <w:br/>
        <w:t xml:space="preserve">Paired decisions updating the lists of specialised medical institutions authorised to perform organ transplantation (No. 224) and donor organ procurement and preparation (No. 225).</w:t>
      </w:r>
    </w:p>
    <w:p>
      <w:pPr>
        <w:pBdr>
          <w:bottom w:val="dotted" w:color="D0D0D0" w:sz="2" w:space="4"/>
        </w:pBdr>
        <w:tabs>
          <w:tab w:val="right" w:pos="4624"/>
        </w:tabs>
        <w:spacing w:after="160"/>
      </w:pPr>
      <w:r>
        <w:rPr>
          <w:rFonts w:ascii="Arial" w:cs="Arial" w:eastAsia="Arial" w:hAnsi="Arial"/>
          <w:b/>
          <w:bCs/>
          <w:color w:val="FFFFFF"/>
          <w:sz w:val="13"/>
          <w:szCs w:val="13"/>
          <w:shd w:fill="2C3E50" w:val="clear"/>
        </w:rPr>
        <w:t xml:space="preserve">DECISION  </w:t>
      </w:r>
      <w:r>
        <w:rPr>
          <w:rFonts w:ascii="Arial" w:cs="Arial" w:eastAsia="Arial" w:hAnsi="Arial"/>
          <w:color w:val="777777"/>
          <w:sz w:val="15"/>
          <w:szCs w:val="15"/>
        </w:rPr>
        <w:t xml:space="preserve">  No. 226</w:t>
      </w:r>
      <w:r>
        <w:rPr>
          <w:rFonts w:ascii="Arial" w:cs="Arial" w:eastAsia="Arial" w:hAnsi="Arial"/>
          <w:color w:val="888888"/>
          <w:sz w:val="15"/>
          <w:szCs w:val="15"/>
        </w:rPr>
        <w:t xml:space="preserve">	21 Jul 2026</w:t>
      </w:r>
      <w:r>
        <w:rPr>
          <w:b/>
          <w:bCs/>
          <w:sz w:val="20"/>
          <w:szCs w:val="20"/>
        </w:rPr>
        <w:br/>
        <w:t xml:space="preserve">National Priority Sectors for Artificial Intelligence — Approval</w:t>
      </w:r>
      <w:r>
        <w:rPr>
          <w:color w:val="333333"/>
          <w:sz w:val="18"/>
          <w:szCs w:val="18"/>
        </w:rPr>
        <w:br/>
        <w:t xml:space="preserve">Approves the national priority sectors for artificial intelligence development and designates the responsible state agencies. See Regulatory Spotlight.</w:t>
      </w:r>
    </w:p>
    <w:p>
      <w:pPr>
        <w:pBdr>
          <w:bottom w:val="dotted" w:color="D0D0D0" w:sz="2" w:space="4"/>
        </w:pBdr>
        <w:tabs>
          <w:tab w:val="right" w:pos="4624"/>
        </w:tabs>
        <w:spacing w:after="160"/>
      </w:pPr>
      <w:r>
        <w:rPr>
          <w:rFonts w:ascii="Arial" w:cs="Arial" w:eastAsia="Arial" w:hAnsi="Arial"/>
          <w:b/>
          <w:bCs/>
          <w:color w:val="FFFFFF"/>
          <w:sz w:val="13"/>
          <w:szCs w:val="13"/>
          <w:shd w:fill="2C3E50" w:val="clear"/>
        </w:rPr>
        <w:t xml:space="preserve">DECISION  </w:t>
      </w:r>
      <w:r>
        <w:rPr>
          <w:rFonts w:ascii="Arial" w:cs="Arial" w:eastAsia="Arial" w:hAnsi="Arial"/>
          <w:color w:val="777777"/>
          <w:sz w:val="15"/>
          <w:szCs w:val="15"/>
        </w:rPr>
        <w:t xml:space="preserve">  No. 227</w:t>
      </w:r>
      <w:r>
        <w:rPr>
          <w:rFonts w:ascii="Arial" w:cs="Arial" w:eastAsia="Arial" w:hAnsi="Arial"/>
          <w:color w:val="888888"/>
          <w:sz w:val="15"/>
          <w:szCs w:val="15"/>
        </w:rPr>
        <w:t xml:space="preserve">	21 Jul 2026</w:t>
      </w:r>
      <w:r>
        <w:rPr>
          <w:b/>
          <w:bCs/>
          <w:sz w:val="20"/>
          <w:szCs w:val="20"/>
        </w:rPr>
        <w:br/>
        <w:t xml:space="preserve">Certification of Educators — Children's Music &amp; Art Schools</w:t>
      </w:r>
      <w:r>
        <w:rPr>
          <w:color w:val="333333"/>
          <w:sz w:val="18"/>
          <w:szCs w:val="18"/>
        </w:rPr>
        <w:br/>
        <w:t xml:space="preserve">Approves certification procedures for educators in state children's music and art schools.</w:t>
      </w:r>
    </w:p>
    <w:p>
      <w:pPr>
        <w:pBdr>
          <w:bottom w:val="dotted" w:color="D0D0D0" w:sz="2" w:space="4"/>
        </w:pBdr>
        <w:tabs>
          <w:tab w:val="right" w:pos="4624"/>
        </w:tabs>
        <w:spacing w:after="160"/>
      </w:pPr>
      <w:r>
        <w:rPr>
          <w:rFonts w:ascii="Arial" w:cs="Arial" w:eastAsia="Arial" w:hAnsi="Arial"/>
          <w:b/>
          <w:bCs/>
          <w:color w:val="FFFFFF"/>
          <w:sz w:val="13"/>
          <w:szCs w:val="13"/>
          <w:shd w:fill="2C3E50" w:val="clear"/>
        </w:rPr>
        <w:t xml:space="preserve">DECISION  </w:t>
      </w:r>
      <w:r>
        <w:rPr>
          <w:rFonts w:ascii="Arial" w:cs="Arial" w:eastAsia="Arial" w:hAnsi="Arial"/>
          <w:color w:val="777777"/>
          <w:sz w:val="15"/>
          <w:szCs w:val="15"/>
        </w:rPr>
        <w:t xml:space="preserve">  No. 228</w:t>
      </w:r>
      <w:r>
        <w:rPr>
          <w:rFonts w:ascii="Arial" w:cs="Arial" w:eastAsia="Arial" w:hAnsi="Arial"/>
          <w:color w:val="888888"/>
          <w:sz w:val="15"/>
          <w:szCs w:val="15"/>
        </w:rPr>
        <w:t xml:space="preserve">	21 Jul 2026</w:t>
      </w:r>
      <w:r>
        <w:rPr>
          <w:b/>
          <w:bCs/>
          <w:sz w:val="20"/>
          <w:szCs w:val="20"/>
        </w:rPr>
        <w:br/>
        <w:t xml:space="preserve">Labor &amp; Social Protection — Implementation of Presidential Decree No. 575</w:t>
      </w:r>
      <w:r>
        <w:rPr>
          <w:color w:val="333333"/>
          <w:sz w:val="18"/>
          <w:szCs w:val="18"/>
        </w:rPr>
        <w:br/>
        <w:t xml:space="preserve">Amends Cabinet decisions to implement Presidential Decree No. 575 (9 January 2026) on labor codes and social protection laws.</w:t>
      </w:r>
    </w:p>
    <w:p>
      <w:pPr>
        <w:pBdr>
          <w:bottom w:val="dotted" w:color="D0D0D0" w:sz="2" w:space="4"/>
        </w:pBdr>
        <w:tabs>
          <w:tab w:val="right" w:pos="4624"/>
        </w:tabs>
        <w:spacing w:after="160"/>
      </w:pPr>
      <w:r>
        <w:rPr>
          <w:rFonts w:ascii="Arial" w:cs="Arial" w:eastAsia="Arial" w:hAnsi="Arial"/>
          <w:b/>
          <w:bCs/>
          <w:color w:val="FFFFFF"/>
          <w:sz w:val="13"/>
          <w:szCs w:val="13"/>
          <w:shd w:fill="2C3E50" w:val="clear"/>
        </w:rPr>
        <w:t xml:space="preserve">DECISION  </w:t>
      </w:r>
      <w:r>
        <w:rPr>
          <w:rFonts w:ascii="Arial" w:cs="Arial" w:eastAsia="Arial" w:hAnsi="Arial"/>
          <w:color w:val="777777"/>
          <w:sz w:val="15"/>
          <w:szCs w:val="15"/>
        </w:rPr>
        <w:t xml:space="preserve">  No. 229</w:t>
      </w:r>
      <w:r>
        <w:rPr>
          <w:rFonts w:ascii="Arial" w:cs="Arial" w:eastAsia="Arial" w:hAnsi="Arial"/>
          <w:color w:val="888888"/>
          <w:sz w:val="15"/>
          <w:szCs w:val="15"/>
        </w:rPr>
        <w:t xml:space="preserve">	22 Jul 2026</w:t>
      </w:r>
      <w:r>
        <w:rPr>
          <w:b/>
          <w:bCs/>
          <w:sz w:val="20"/>
          <w:szCs w:val="20"/>
        </w:rPr>
        <w:br/>
        <w:t xml:space="preserve">State Water Resources Agency — Implementation of Presidential Decree No. 403</w:t>
      </w:r>
      <w:r>
        <w:rPr>
          <w:color w:val="333333"/>
          <w:sz w:val="18"/>
          <w:szCs w:val="18"/>
        </w:rPr>
        <w:br/>
        <w:t xml:space="preserve">Amends Cabinet decisions in connection with Presidential Decree No. 403 (4 June 2025) on the activities of the State Water Resources Agency.</w:t>
      </w:r>
    </w:p>
    <w:p>
      <w:pPr>
        <w:pBdr>
          <w:bottom w:val="single" w:color="CCCCCC" w:sz="4" w:space="2"/>
        </w:pBdr>
        <w:spacing w:after="80" w:before="160"/>
      </w:pPr>
      <w:r>
        <w:rPr>
          <w:rFonts w:ascii="Arial" w:cs="Arial" w:eastAsia="Arial" w:hAnsi="Arial"/>
          <w:b/>
          <w:bCs/>
          <w:color w:val="555555"/>
          <w:spacing w:val="16"/>
          <w:sz w:val="15"/>
          <w:szCs w:val="15"/>
        </w:rPr>
        <w:t xml:space="preserve">ORDERS (SƏRƏNCAMLAR)</w:t>
      </w:r>
    </w:p>
    <w:p>
      <w:pPr>
        <w:pBdr>
          <w:bottom w:val="dotted" w:color="D0D0D0" w:sz="2" w:space="4"/>
        </w:pBdr>
        <w:tabs>
          <w:tab w:val="right" w:pos="4624"/>
        </w:tabs>
        <w:spacing w:after="160"/>
      </w:pPr>
      <w:r>
        <w:rPr>
          <w:rFonts w:ascii="Arial" w:cs="Arial" w:eastAsia="Arial" w:hAnsi="Arial"/>
          <w:b/>
          <w:bCs/>
          <w:color w:val="FFFFFF"/>
          <w:sz w:val="13"/>
          <w:szCs w:val="13"/>
          <w:shd w:fill="4A4A4A" w:val="clear"/>
        </w:rPr>
        <w:t xml:space="preserve">ORDER  </w:t>
      </w:r>
      <w:r>
        <w:rPr>
          <w:rFonts w:ascii="Arial" w:cs="Arial" w:eastAsia="Arial" w:hAnsi="Arial"/>
          <w:color w:val="777777"/>
          <w:sz w:val="15"/>
          <w:szCs w:val="15"/>
        </w:rPr>
        <w:t xml:space="preserve">  No. 495s</w:t>
      </w:r>
      <w:r>
        <w:rPr>
          <w:rFonts w:ascii="Arial" w:cs="Arial" w:eastAsia="Arial" w:hAnsi="Arial"/>
          <w:color w:val="888888"/>
          <w:sz w:val="15"/>
          <w:szCs w:val="15"/>
        </w:rPr>
        <w:t xml:space="preserve">	14 Jul 2026</w:t>
      </w:r>
      <w:r>
        <w:rPr>
          <w:b/>
          <w:bCs/>
          <w:sz w:val="20"/>
          <w:szCs w:val="20"/>
        </w:rPr>
        <w:br/>
        <w:t xml:space="preserve">Implementation of June 2026 Presidential Decree on Administrative Code Amendments</w:t>
      </w:r>
      <w:r>
        <w:rPr>
          <w:color w:val="333333"/>
          <w:sz w:val="18"/>
          <w:szCs w:val="18"/>
        </w:rPr>
        <w:br/>
        <w:t xml:space="preserve">Operationalises an earlier presidential decree amending the Administrative Code.</w:t>
      </w:r>
    </w:p>
    <w:p>
      <w:pPr>
        <w:pBdr>
          <w:bottom w:val="dotted" w:color="D0D0D0" w:sz="2" w:space="4"/>
        </w:pBdr>
        <w:tabs>
          <w:tab w:val="right" w:pos="4624"/>
        </w:tabs>
        <w:spacing w:after="160"/>
      </w:pPr>
      <w:r>
        <w:rPr>
          <w:rFonts w:ascii="Arial" w:cs="Arial" w:eastAsia="Arial" w:hAnsi="Arial"/>
          <w:b/>
          <w:bCs/>
          <w:color w:val="FFFFFF"/>
          <w:sz w:val="13"/>
          <w:szCs w:val="13"/>
          <w:shd w:fill="4A4A4A" w:val="clear"/>
        </w:rPr>
        <w:t xml:space="preserve">ORDER  </w:t>
      </w:r>
      <w:r>
        <w:rPr>
          <w:rFonts w:ascii="Arial" w:cs="Arial" w:eastAsia="Arial" w:hAnsi="Arial"/>
          <w:color w:val="777777"/>
          <w:sz w:val="15"/>
          <w:szCs w:val="15"/>
        </w:rPr>
        <w:t xml:space="preserve">  No. 507s</w:t>
      </w:r>
      <w:r>
        <w:rPr>
          <w:rFonts w:ascii="Arial" w:cs="Arial" w:eastAsia="Arial" w:hAnsi="Arial"/>
          <w:color w:val="888888"/>
          <w:sz w:val="15"/>
          <w:szCs w:val="15"/>
        </w:rPr>
        <w:t xml:space="preserve">	16 Jul 2026</w:t>
      </w:r>
      <w:r>
        <w:rPr>
          <w:b/>
          <w:bCs/>
          <w:sz w:val="20"/>
          <w:szCs w:val="20"/>
        </w:rPr>
        <w:br/>
        <w:t xml:space="preserve">Icherisheher State Historical-Architectural Reserve — Charter Amendments</w:t>
      </w:r>
      <w:r>
        <w:rPr>
          <w:color w:val="333333"/>
          <w:sz w:val="18"/>
          <w:szCs w:val="18"/>
        </w:rPr>
        <w:br/>
        <w:t xml:space="preserve">Implements Presidential Decree No. 717 amending the Charter of the Icherisheher State Historical-Architectural Reserve.</w:t>
      </w:r>
    </w:p>
    <w:p>
      <w:pPr>
        <w:pBdr>
          <w:bottom w:val="dotted" w:color="D0D0D0" w:sz="2" w:space="4"/>
        </w:pBdr>
        <w:tabs>
          <w:tab w:val="right" w:pos="4624"/>
        </w:tabs>
        <w:spacing w:after="160"/>
      </w:pPr>
      <w:r>
        <w:rPr>
          <w:rFonts w:ascii="Arial" w:cs="Arial" w:eastAsia="Arial" w:hAnsi="Arial"/>
          <w:b/>
          <w:bCs/>
          <w:color w:val="FFFFFF"/>
          <w:sz w:val="13"/>
          <w:szCs w:val="13"/>
          <w:shd w:fill="4A4A4A" w:val="clear"/>
        </w:rPr>
        <w:t xml:space="preserve">ORDER  </w:t>
      </w:r>
      <w:r>
        <w:rPr>
          <w:rFonts w:ascii="Arial" w:cs="Arial" w:eastAsia="Arial" w:hAnsi="Arial"/>
          <w:color w:val="777777"/>
          <w:sz w:val="15"/>
          <w:szCs w:val="15"/>
        </w:rPr>
        <w:t xml:space="preserve">  Nos. 508s–509s</w:t>
      </w:r>
      <w:r>
        <w:rPr>
          <w:rFonts w:ascii="Arial" w:cs="Arial" w:eastAsia="Arial" w:hAnsi="Arial"/>
          <w:color w:val="888888"/>
          <w:sz w:val="15"/>
          <w:szCs w:val="15"/>
        </w:rPr>
        <w:t xml:space="preserve">	15–16 Jul 2026</w:t>
      </w:r>
      <w:r>
        <w:rPr>
          <w:b/>
          <w:bCs/>
          <w:sz w:val="20"/>
          <w:szCs w:val="20"/>
        </w:rPr>
        <w:br/>
        <w:t xml:space="preserve">Implementation Orders — State Property &amp; Population Census</w:t>
      </w:r>
      <w:r>
        <w:rPr>
          <w:color w:val="333333"/>
          <w:sz w:val="18"/>
          <w:szCs w:val="18"/>
        </w:rPr>
        <w:br/>
        <w:t xml:space="preserve">Implementation orders for prior presidential decrees on state property reorganisation and planning for the population census.</w:t>
      </w:r>
    </w:p>
    <w:p>
      <w:pPr>
        <w:pBdr>
          <w:bottom w:val="dotted" w:color="D0D0D0" w:sz="2" w:space="4"/>
        </w:pBdr>
        <w:tabs>
          <w:tab w:val="right" w:pos="4624"/>
        </w:tabs>
        <w:spacing w:after="160"/>
      </w:pPr>
      <w:r>
        <w:rPr>
          <w:rFonts w:ascii="Arial" w:cs="Arial" w:eastAsia="Arial" w:hAnsi="Arial"/>
          <w:b/>
          <w:bCs/>
          <w:color w:val="FFFFFF"/>
          <w:sz w:val="13"/>
          <w:szCs w:val="13"/>
          <w:shd w:fill="4A4A4A" w:val="clear"/>
        </w:rPr>
        <w:t xml:space="preserve">ORDER  </w:t>
      </w:r>
      <w:r>
        <w:rPr>
          <w:rFonts w:ascii="Arial" w:cs="Arial" w:eastAsia="Arial" w:hAnsi="Arial"/>
          <w:color w:val="777777"/>
          <w:sz w:val="15"/>
          <w:szCs w:val="15"/>
        </w:rPr>
        <w:t xml:space="preserve">  No. 510s</w:t>
      </w:r>
      <w:r>
        <w:rPr>
          <w:rFonts w:ascii="Arial" w:cs="Arial" w:eastAsia="Arial" w:hAnsi="Arial"/>
          <w:color w:val="888888"/>
          <w:sz w:val="15"/>
          <w:szCs w:val="15"/>
        </w:rPr>
        <w:t xml:space="preserve">	17 Jul 2026</w:t>
      </w:r>
      <w:r>
        <w:rPr>
          <w:b/>
          <w:bCs/>
          <w:sz w:val="20"/>
          <w:szCs w:val="20"/>
        </w:rPr>
        <w:br/>
        <w:t xml:space="preserve">Criminal Procedure Code Amendments — Implementation Measures</w:t>
      </w:r>
      <w:r>
        <w:rPr>
          <w:color w:val="333333"/>
          <w:sz w:val="18"/>
          <w:szCs w:val="18"/>
        </w:rPr>
        <w:br/>
        <w:t xml:space="preserve">Implementation measures for the Criminal Procedure Code amendments enacted by Law No. 429-VIIQD (30 June 2026).</w:t>
      </w:r>
    </w:p>
    <w:tbl>
      <w:tblPr>
        <w:tblW w:type="dxa" w:w="964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648"/>
      </w:tblGrid>
      <w:tr>
        <w:tc>
          <w:tcPr>
            <w:tcW w:type="dxa" w:w="9648"/>
            <w:tcBorders>
              <w:top w:val="dashed" w:color="AAAAAA" w:sz="4"/>
              <w:left w:val="dashed" w:color="AAAAAA" w:sz="4"/>
              <w:bottom w:val="dashed" w:color="AAAAAA" w:sz="4"/>
              <w:right w:val="dashed" w:color="AAAAAA" w:sz="4"/>
            </w:tcBorders>
            <w:shd w:fill="F8F8F8" w:val="clear"/>
            <w:tcMar>
              <w:top w:type="dxa" w:w="100"/>
              <w:left w:type="dxa" w:w="140"/>
              <w:bottom w:type="dxa" w:w="100"/>
              <w:right w:type="dxa" w:w="140"/>
            </w:tcMar>
          </w:tcPr>
          <w:p>
            <w:r>
              <w:rPr>
                <w:rFonts w:ascii="Arial" w:cs="Arial" w:eastAsia="Arial" w:hAnsi="Arial"/>
                <w:b/>
                <w:bCs/>
                <w:color w:val="333333"/>
                <w:sz w:val="17"/>
                <w:szCs w:val="17"/>
              </w:rPr>
              <w:t xml:space="preserve">Note on Numbering Gaps: </w:t>
            </w:r>
            <w:r>
              <w:rPr>
                <w:rFonts w:ascii="Arial" w:cs="Arial" w:eastAsia="Arial" w:hAnsi="Arial"/>
                <w:color w:val="555555"/>
                <w:sz w:val="17"/>
                <w:szCs w:val="17"/>
              </w:rPr>
              <w:t xml:space="preserve">Decision numbers 219–222 (between the 17 Jul and 21 Jul batches) and order numbers 496s–506s (between 14 and 15 Jul) were not visible on the source listing at compilation time — likely a publication lag or partial disclosure rather than a substantive gap. Verify directly with nk.gov.az if a specific number is relevant to client work.</w:t>
            </w:r>
          </w:p>
        </w:tc>
      </w:tr>
    </w:tbl>
    <w:p>
      <w:pPr>
        <w:pBdr>
          <w:top w:val="single" w:color="1A1A1A" w:sz="12" w:space="4"/>
          <w:bottom w:val="single" w:color="CCCCCC" w:sz="4" w:space="4"/>
        </w:pBdr>
        <w:tabs>
          <w:tab w:val="right" w:pos="9648"/>
        </w:tabs>
        <w:spacing w:after="120" w:before="320"/>
      </w:pPr>
      <w:r>
        <w:rPr>
          <w:rFonts w:ascii="Arial" w:cs="Arial" w:eastAsia="Arial" w:hAnsi="Arial"/>
          <w:b w:val="false"/>
          <w:bCs w:val="false"/>
          <w:color w:val="777777"/>
          <w:spacing w:val="16"/>
          <w:sz w:val="13"/>
          <w:szCs w:val="13"/>
        </w:rPr>
        <w:t xml:space="preserve">ADMINISTRATION OF THE PRESIDENT   </w:t>
      </w:r>
      <w:r>
        <w:rPr>
          <w:b/>
          <w:bCs/>
          <w:sz w:val="30"/>
          <w:szCs w:val="30"/>
        </w:rPr>
        <w:br/>
        <w:t xml:space="preserve">Presidential Office</w:t>
      </w:r>
      <w:r>
        <w:rPr>
          <w:rFonts w:ascii="Arial" w:cs="Arial" w:eastAsia="Arial" w:hAnsi="Arial"/>
          <w:i/>
          <w:iCs/>
          <w:color w:val="888888"/>
          <w:sz w:val="16"/>
          <w:szCs w:val="16"/>
        </w:rPr>
        <w:t xml:space="preserve">	Diplomatic Activity — 11–21 July 2026</w:t>
      </w:r>
    </w:p>
    <w:p>
      <w:pPr>
        <w:spacing w:after="160"/>
      </w:pPr>
      <w:r>
        <w:rPr>
          <w:rFonts w:ascii="Arial" w:cs="Arial" w:eastAsia="Arial" w:hAnsi="Arial"/>
          <w:i w:val="false"/>
          <w:iCs w:val="false"/>
          <w:color w:val="555555"/>
          <w:sz w:val="18"/>
          <w:szCs w:val="18"/>
        </w:rPr>
        <w:t xml:space="preserve">No presidential decrees (fərmanlar) or orders (sərəncamlar) appear in the publicly accessible document register for the reporting period. The public record is dominated by two state-level engagements: the Slovakia visit (14 July, including a joint visit to Garabagh) and the state visit to Berlin (21 July), which produced a Joint Declaration on a Strategic Agenda for the Azerbaijan–Germany Bilateral Partnership — see Regulatory Spotlight.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00"/>
        <w:gridCol w:w="3200"/>
        <w:gridCol w:w="3400"/>
      </w:tblGrid>
      <w:tr>
        <w:trPr>
          <w:tblHeader/>
        </w:trPr>
        <w:tc>
          <w:tcPr>
            <w:tcW w:type="dxa" w:w="1000"/>
            <w:shd w:fill="1A1A1A" w:val="clear"/>
            <w:tcMar>
              <w:top w:type="dxa" w:w="60"/>
              <w:left w:type="dxa" w:w="100"/>
              <w:bottom w:type="dxa" w:w="60"/>
              <w:right w:type="dxa" w:w="100"/>
            </w:tcMar>
          </w:tcPr>
          <w:p>
            <w:r>
              <w:rPr>
                <w:rFonts w:ascii="Arial" w:cs="Arial" w:eastAsia="Arial" w:hAnsi="Arial"/>
                <w:b/>
                <w:bCs/>
                <w:color w:val="FFFFFF"/>
                <w:sz w:val="13"/>
                <w:szCs w:val="13"/>
              </w:rPr>
              <w:t xml:space="preserve">DATE</w:t>
            </w:r>
          </w:p>
        </w:tc>
        <w:tc>
          <w:tcPr>
            <w:tcW w:type="dxa" w:w="1400"/>
            <w:shd w:fill="1A1A1A" w:val="clear"/>
            <w:tcMar>
              <w:top w:type="dxa" w:w="60"/>
              <w:left w:type="dxa" w:w="100"/>
              <w:bottom w:type="dxa" w:w="60"/>
              <w:right w:type="dxa" w:w="100"/>
            </w:tcMar>
          </w:tcPr>
          <w:p>
            <w:r>
              <w:rPr>
                <w:rFonts w:ascii="Arial" w:cs="Arial" w:eastAsia="Arial" w:hAnsi="Arial"/>
                <w:b/>
                <w:bCs/>
                <w:color w:val="FFFFFF"/>
                <w:sz w:val="13"/>
                <w:szCs w:val="13"/>
              </w:rPr>
              <w:t xml:space="preserve">TYPE</w:t>
            </w:r>
          </w:p>
        </w:tc>
        <w:tc>
          <w:tcPr>
            <w:tcW w:type="dxa" w:w="2400"/>
            <w:shd w:fill="1A1A1A" w:val="clear"/>
            <w:tcMar>
              <w:top w:type="dxa" w:w="60"/>
              <w:left w:type="dxa" w:w="100"/>
              <w:bottom w:type="dxa" w:w="60"/>
              <w:right w:type="dxa" w:w="100"/>
            </w:tcMar>
          </w:tcPr>
          <w:p>
            <w:r>
              <w:rPr>
                <w:rFonts w:ascii="Arial" w:cs="Arial" w:eastAsia="Arial" w:hAnsi="Arial"/>
                <w:b/>
                <w:bCs/>
                <w:color w:val="FFFFFF"/>
                <w:sz w:val="13"/>
                <w:szCs w:val="13"/>
              </w:rPr>
              <w:t xml:space="preserve">COUNTERPART</w:t>
            </w:r>
          </w:p>
        </w:tc>
        <w:tc>
          <w:tcPr>
            <w:tcW w:type="dxa" w:w="3200"/>
            <w:shd w:fill="1A1A1A" w:val="clear"/>
            <w:tcMar>
              <w:top w:type="dxa" w:w="60"/>
              <w:left w:type="dxa" w:w="100"/>
              <w:bottom w:type="dxa" w:w="60"/>
              <w:right w:type="dxa" w:w="100"/>
            </w:tcMar>
          </w:tcPr>
          <w:p>
            <w:r>
              <w:rPr>
                <w:rFonts w:ascii="Arial" w:cs="Arial" w:eastAsia="Arial" w:hAnsi="Arial"/>
                <w:b/>
                <w:bCs/>
                <w:color w:val="FFFFFF"/>
                <w:sz w:val="13"/>
                <w:szCs w:val="13"/>
              </w:rPr>
              <w:t xml:space="preserve">COUNTRY / TITLE</w:t>
            </w:r>
          </w:p>
        </w:tc>
        <w:tc>
          <w:tcPr>
            <w:tcW w:type="dxa" w:w="3400"/>
            <w:shd w:fill="1A1A1A" w:val="clear"/>
            <w:tcMar>
              <w:top w:type="dxa" w:w="60"/>
              <w:left w:type="dxa" w:w="100"/>
              <w:bottom w:type="dxa" w:w="60"/>
              <w:right w:type="dxa" w:w="100"/>
            </w:tcMar>
          </w:tcPr>
          <w:p>
            <w:r>
              <w:rPr>
                <w:rFonts w:ascii="Arial" w:cs="Arial" w:eastAsia="Arial" w:hAnsi="Arial"/>
                <w:b/>
                <w:bCs/>
                <w:color w:val="FFFFFF"/>
                <w:sz w:val="13"/>
                <w:szCs w:val="13"/>
              </w:rPr>
              <w:t xml:space="preserve">CONTEXT</w:t>
            </w:r>
          </w:p>
        </w:tc>
      </w:tr>
      <w:tr>
        <w:tc>
          <w:tcPr>
            <w:tcW w:type="dxa" w:w="1000"/>
            <w:shd w:fill="FFFFFF" w:val="clear"/>
            <w:tcMar>
              <w:top w:type="dxa" w:w="60"/>
              <w:left w:type="dxa" w:w="100"/>
              <w:bottom w:type="dxa" w:w="60"/>
              <w:right w:type="dxa" w:w="100"/>
            </w:tcMar>
          </w:tcPr>
          <w:p>
            <w:r>
              <w:rPr>
                <w:rFonts w:ascii="Arial" w:cs="Arial" w:eastAsia="Arial" w:hAnsi="Arial"/>
                <w:sz w:val="15"/>
                <w:szCs w:val="15"/>
              </w:rPr>
              <w:t xml:space="preserve">21 Jul</w:t>
            </w:r>
          </w:p>
        </w:tc>
        <w:tc>
          <w:tcPr>
            <w:tcW w:type="dxa" w:w="1400"/>
            <w:shd w:fill="FFFFFF" w:val="clear"/>
            <w:tcMar>
              <w:top w:type="dxa" w:w="60"/>
              <w:left w:type="dxa" w:w="100"/>
              <w:bottom w:type="dxa" w:w="60"/>
              <w:right w:type="dxa" w:w="100"/>
            </w:tcMar>
          </w:tcPr>
          <w:p>
            <w:r>
              <w:rPr>
                <w:rFonts w:ascii="Arial" w:cs="Arial" w:eastAsia="Arial" w:hAnsi="Arial"/>
                <w:sz w:val="15"/>
                <w:szCs w:val="15"/>
              </w:rPr>
              <w:t xml:space="preserve">Declaration</w:t>
            </w:r>
          </w:p>
        </w:tc>
        <w:tc>
          <w:tcPr>
            <w:tcW w:type="dxa" w:w="2400"/>
            <w:shd w:fill="FFFFFF" w:val="clear"/>
            <w:tcMar>
              <w:top w:type="dxa" w:w="60"/>
              <w:left w:type="dxa" w:w="100"/>
              <w:bottom w:type="dxa" w:w="60"/>
              <w:right w:type="dxa" w:w="100"/>
            </w:tcMar>
          </w:tcPr>
          <w:p>
            <w:r>
              <w:rPr>
                <w:rFonts w:ascii="Arial" w:cs="Arial" w:eastAsia="Arial" w:hAnsi="Arial"/>
                <w:sz w:val="15"/>
                <w:szCs w:val="15"/>
              </w:rPr>
              <w:t xml:space="preserve">— (joint)</w:t>
            </w:r>
          </w:p>
        </w:tc>
        <w:tc>
          <w:tcPr>
            <w:tcW w:type="dxa" w:w="3200"/>
            <w:shd w:fill="FFFFFF" w:val="clear"/>
            <w:tcMar>
              <w:top w:type="dxa" w:w="60"/>
              <w:left w:type="dxa" w:w="100"/>
              <w:bottom w:type="dxa" w:w="60"/>
              <w:right w:type="dxa" w:w="100"/>
            </w:tcMar>
          </w:tcPr>
          <w:p>
            <w:r>
              <w:rPr>
                <w:rFonts w:ascii="Arial" w:cs="Arial" w:eastAsia="Arial" w:hAnsi="Arial"/>
                <w:sz w:val="15"/>
                <w:szCs w:val="15"/>
              </w:rPr>
              <w:t xml:space="preserve">Azerbaijan &amp; Federal Republic of Germany</w:t>
            </w:r>
          </w:p>
        </w:tc>
        <w:tc>
          <w:tcPr>
            <w:tcW w:type="dxa" w:w="3400"/>
            <w:shd w:fill="FFFFFF" w:val="clear"/>
            <w:tcMar>
              <w:top w:type="dxa" w:w="60"/>
              <w:left w:type="dxa" w:w="100"/>
              <w:bottom w:type="dxa" w:w="60"/>
              <w:right w:type="dxa" w:w="100"/>
            </w:tcMar>
          </w:tcPr>
          <w:p>
            <w:r>
              <w:rPr>
                <w:rFonts w:ascii="Arial" w:cs="Arial" w:eastAsia="Arial" w:hAnsi="Arial"/>
                <w:sz w:val="15"/>
                <w:szCs w:val="15"/>
              </w:rPr>
              <w:t xml:space="preserve">Joint Declaration on a Strategic Agenda for the Bilateral Partnership, signed during the Berlin state visit</w:t>
            </w:r>
          </w:p>
        </w:tc>
      </w:tr>
      <w:tr>
        <w:tc>
          <w:tcPr>
            <w:tcW w:type="dxa" w:w="1000"/>
            <w:shd w:fill="F5F5F5" w:val="clear"/>
            <w:tcMar>
              <w:top w:type="dxa" w:w="60"/>
              <w:left w:type="dxa" w:w="100"/>
              <w:bottom w:type="dxa" w:w="60"/>
              <w:right w:type="dxa" w:w="100"/>
            </w:tcMar>
          </w:tcPr>
          <w:p>
            <w:r>
              <w:rPr>
                <w:rFonts w:ascii="Arial" w:cs="Arial" w:eastAsia="Arial" w:hAnsi="Arial"/>
                <w:sz w:val="15"/>
                <w:szCs w:val="15"/>
              </w:rPr>
              <w:t xml:space="preserve">21 Jul</w:t>
            </w:r>
          </w:p>
        </w:tc>
        <w:tc>
          <w:tcPr>
            <w:tcW w:type="dxa" w:w="1400"/>
            <w:shd w:fill="F5F5F5" w:val="clear"/>
            <w:tcMar>
              <w:top w:type="dxa" w:w="60"/>
              <w:left w:type="dxa" w:w="100"/>
              <w:bottom w:type="dxa" w:w="60"/>
              <w:right w:type="dxa" w:w="100"/>
            </w:tcMar>
          </w:tcPr>
          <w:p>
            <w:r>
              <w:rPr>
                <w:rFonts w:ascii="Arial" w:cs="Arial" w:eastAsia="Arial" w:hAnsi="Arial"/>
                <w:sz w:val="15"/>
                <w:szCs w:val="15"/>
              </w:rPr>
              <w:t xml:space="preserve">Statement</w:t>
            </w:r>
          </w:p>
        </w:tc>
        <w:tc>
          <w:tcPr>
            <w:tcW w:type="dxa" w:w="2400"/>
            <w:shd w:fill="F5F5F5" w:val="clear"/>
            <w:tcMar>
              <w:top w:type="dxa" w:w="60"/>
              <w:left w:type="dxa" w:w="100"/>
              <w:bottom w:type="dxa" w:w="60"/>
              <w:right w:type="dxa" w:w="100"/>
            </w:tcMar>
          </w:tcPr>
          <w:p>
            <w:r>
              <w:rPr>
                <w:rFonts w:ascii="Arial" w:cs="Arial" w:eastAsia="Arial" w:hAnsi="Arial"/>
                <w:sz w:val="15"/>
                <w:szCs w:val="15"/>
              </w:rPr>
              <w:t xml:space="preserve">Friedrich Merz</w:t>
            </w:r>
          </w:p>
        </w:tc>
        <w:tc>
          <w:tcPr>
            <w:tcW w:type="dxa" w:w="3200"/>
            <w:shd w:fill="F5F5F5" w:val="clear"/>
            <w:tcMar>
              <w:top w:type="dxa" w:w="60"/>
              <w:left w:type="dxa" w:w="100"/>
              <w:bottom w:type="dxa" w:w="60"/>
              <w:right w:type="dxa" w:w="100"/>
            </w:tcMar>
          </w:tcPr>
          <w:p>
            <w:r>
              <w:rPr>
                <w:rFonts w:ascii="Arial" w:cs="Arial" w:eastAsia="Arial" w:hAnsi="Arial"/>
                <w:sz w:val="15"/>
                <w:szCs w:val="15"/>
              </w:rPr>
              <w:t xml:space="preserve">Federal Chancellor of Germany</w:t>
            </w:r>
          </w:p>
        </w:tc>
        <w:tc>
          <w:tcPr>
            <w:tcW w:type="dxa" w:w="3400"/>
            <w:shd w:fill="F5F5F5" w:val="clear"/>
            <w:tcMar>
              <w:top w:type="dxa" w:w="60"/>
              <w:left w:type="dxa" w:w="100"/>
              <w:bottom w:type="dxa" w:w="60"/>
              <w:right w:type="dxa" w:w="100"/>
            </w:tcMar>
          </w:tcPr>
          <w:p>
            <w:r>
              <w:rPr>
                <w:rFonts w:ascii="Arial" w:cs="Arial" w:eastAsia="Arial" w:hAnsi="Arial"/>
                <w:sz w:val="15"/>
                <w:szCs w:val="15"/>
              </w:rPr>
              <w:t xml:space="preserve">Joint press statements during the state visit to Berlin</w:t>
            </w:r>
          </w:p>
        </w:tc>
      </w:tr>
      <w:tr>
        <w:tc>
          <w:tcPr>
            <w:tcW w:type="dxa" w:w="1000"/>
            <w:shd w:fill="FFFFFF" w:val="clear"/>
            <w:tcMar>
              <w:top w:type="dxa" w:w="60"/>
              <w:left w:type="dxa" w:w="100"/>
              <w:bottom w:type="dxa" w:w="60"/>
              <w:right w:type="dxa" w:w="100"/>
            </w:tcMar>
          </w:tcPr>
          <w:p>
            <w:r>
              <w:rPr>
                <w:rFonts w:ascii="Arial" w:cs="Arial" w:eastAsia="Arial" w:hAnsi="Arial"/>
                <w:sz w:val="15"/>
                <w:szCs w:val="15"/>
              </w:rPr>
              <w:t xml:space="preserve">21 Jul</w:t>
            </w:r>
          </w:p>
        </w:tc>
        <w:tc>
          <w:tcPr>
            <w:tcW w:type="dxa" w:w="1400"/>
            <w:shd w:fill="FFFFFF" w:val="clear"/>
            <w:tcMar>
              <w:top w:type="dxa" w:w="60"/>
              <w:left w:type="dxa" w:w="100"/>
              <w:bottom w:type="dxa" w:w="60"/>
              <w:right w:type="dxa" w:w="100"/>
            </w:tcMar>
          </w:tcPr>
          <w:p>
            <w:r>
              <w:rPr>
                <w:rFonts w:ascii="Arial" w:cs="Arial" w:eastAsia="Arial" w:hAnsi="Arial"/>
                <w:sz w:val="15"/>
                <w:szCs w:val="15"/>
              </w:rPr>
              <w:t xml:space="preserve">Letter</w:t>
            </w:r>
          </w:p>
        </w:tc>
        <w:tc>
          <w:tcPr>
            <w:tcW w:type="dxa" w:w="2400"/>
            <w:shd w:fill="FFFFFF" w:val="clear"/>
            <w:tcMar>
              <w:top w:type="dxa" w:w="60"/>
              <w:left w:type="dxa" w:w="100"/>
              <w:bottom w:type="dxa" w:w="60"/>
              <w:right w:type="dxa" w:w="100"/>
            </w:tcMar>
          </w:tcPr>
          <w:p>
            <w:r>
              <w:rPr>
                <w:rFonts w:ascii="Arial" w:cs="Arial" w:eastAsia="Arial" w:hAnsi="Arial"/>
                <w:sz w:val="15"/>
                <w:szCs w:val="15"/>
              </w:rPr>
              <w:t xml:space="preserve">King Philippe</w:t>
            </w:r>
          </w:p>
        </w:tc>
        <w:tc>
          <w:tcPr>
            <w:tcW w:type="dxa" w:w="3200"/>
            <w:shd w:fill="FFFFFF" w:val="clear"/>
            <w:tcMar>
              <w:top w:type="dxa" w:w="60"/>
              <w:left w:type="dxa" w:w="100"/>
              <w:bottom w:type="dxa" w:w="60"/>
              <w:right w:type="dxa" w:w="100"/>
            </w:tcMar>
          </w:tcPr>
          <w:p>
            <w:r>
              <w:rPr>
                <w:rFonts w:ascii="Arial" w:cs="Arial" w:eastAsia="Arial" w:hAnsi="Arial"/>
                <w:sz w:val="15"/>
                <w:szCs w:val="15"/>
              </w:rPr>
              <w:t xml:space="preserve">King of the Belgians</w:t>
            </w:r>
          </w:p>
        </w:tc>
        <w:tc>
          <w:tcPr>
            <w:tcW w:type="dxa" w:w="3400"/>
            <w:shd w:fill="FFFFFF" w:val="clear"/>
            <w:tcMar>
              <w:top w:type="dxa" w:w="60"/>
              <w:left w:type="dxa" w:w="100"/>
              <w:bottom w:type="dxa" w:w="60"/>
              <w:right w:type="dxa" w:w="100"/>
            </w:tcMar>
          </w:tcPr>
          <w:p>
            <w:r>
              <w:rPr>
                <w:rFonts w:ascii="Arial" w:cs="Arial" w:eastAsia="Arial" w:hAnsi="Arial"/>
                <w:sz w:val="15"/>
                <w:szCs w:val="15"/>
              </w:rPr>
              <w:t xml:space="preserve">Belgian National Day congratulations</w:t>
            </w:r>
          </w:p>
        </w:tc>
      </w:tr>
      <w:tr>
        <w:tc>
          <w:tcPr>
            <w:tcW w:type="dxa" w:w="1000"/>
            <w:shd w:fill="F5F5F5" w:val="clear"/>
            <w:tcMar>
              <w:top w:type="dxa" w:w="60"/>
              <w:left w:type="dxa" w:w="100"/>
              <w:bottom w:type="dxa" w:w="60"/>
              <w:right w:type="dxa" w:w="100"/>
            </w:tcMar>
          </w:tcPr>
          <w:p>
            <w:r>
              <w:rPr>
                <w:rFonts w:ascii="Arial" w:cs="Arial" w:eastAsia="Arial" w:hAnsi="Arial"/>
                <w:sz w:val="15"/>
                <w:szCs w:val="15"/>
              </w:rPr>
              <w:t xml:space="preserve">21 Jul</w:t>
            </w:r>
          </w:p>
        </w:tc>
        <w:tc>
          <w:tcPr>
            <w:tcW w:type="dxa" w:w="1400"/>
            <w:shd w:fill="F5F5F5" w:val="clear"/>
            <w:tcMar>
              <w:top w:type="dxa" w:w="60"/>
              <w:left w:type="dxa" w:w="100"/>
              <w:bottom w:type="dxa" w:w="60"/>
              <w:right w:type="dxa" w:w="100"/>
            </w:tcMar>
          </w:tcPr>
          <w:p>
            <w:r>
              <w:rPr>
                <w:rFonts w:ascii="Arial" w:cs="Arial" w:eastAsia="Arial" w:hAnsi="Arial"/>
                <w:sz w:val="15"/>
                <w:szCs w:val="15"/>
              </w:rPr>
              <w:t xml:space="preserve">Letter</w:t>
            </w:r>
          </w:p>
        </w:tc>
        <w:tc>
          <w:tcPr>
            <w:tcW w:type="dxa" w:w="2400"/>
            <w:shd w:fill="F5F5F5" w:val="clear"/>
            <w:tcMar>
              <w:top w:type="dxa" w:w="60"/>
              <w:left w:type="dxa" w:w="100"/>
              <w:bottom w:type="dxa" w:w="60"/>
              <w:right w:type="dxa" w:w="100"/>
            </w:tcMar>
          </w:tcPr>
          <w:p>
            <w:r>
              <w:rPr>
                <w:rFonts w:ascii="Arial" w:cs="Arial" w:eastAsia="Arial" w:hAnsi="Arial"/>
                <w:sz w:val="15"/>
                <w:szCs w:val="15"/>
              </w:rPr>
              <w:t xml:space="preserve">Andy Burnham</w:t>
            </w:r>
          </w:p>
        </w:tc>
        <w:tc>
          <w:tcPr>
            <w:tcW w:type="dxa" w:w="3200"/>
            <w:shd w:fill="F5F5F5" w:val="clear"/>
            <w:tcMar>
              <w:top w:type="dxa" w:w="60"/>
              <w:left w:type="dxa" w:w="100"/>
              <w:bottom w:type="dxa" w:w="60"/>
              <w:right w:type="dxa" w:w="100"/>
            </w:tcMar>
          </w:tcPr>
          <w:p>
            <w:r>
              <w:rPr>
                <w:rFonts w:ascii="Arial" w:cs="Arial" w:eastAsia="Arial" w:hAnsi="Arial"/>
                <w:sz w:val="15"/>
                <w:szCs w:val="15"/>
              </w:rPr>
              <w:t xml:space="preserve">Prime Minister of the United Kingdom</w:t>
            </w:r>
          </w:p>
        </w:tc>
        <w:tc>
          <w:tcPr>
            <w:tcW w:type="dxa" w:w="3400"/>
            <w:shd w:fill="F5F5F5" w:val="clear"/>
            <w:tcMar>
              <w:top w:type="dxa" w:w="60"/>
              <w:left w:type="dxa" w:w="100"/>
              <w:bottom w:type="dxa" w:w="60"/>
              <w:right w:type="dxa" w:w="100"/>
            </w:tcMar>
          </w:tcPr>
          <w:p>
            <w:r>
              <w:rPr>
                <w:rFonts w:ascii="Arial" w:cs="Arial" w:eastAsia="Arial" w:hAnsi="Arial"/>
                <w:sz w:val="15"/>
                <w:szCs w:val="15"/>
              </w:rPr>
              <w:t xml:space="preserve">Congratulations on appointment as Prime Minister</w:t>
            </w:r>
          </w:p>
        </w:tc>
      </w:tr>
      <w:tr>
        <w:tc>
          <w:tcPr>
            <w:tcW w:type="dxa" w:w="1000"/>
            <w:shd w:fill="FFFFFF" w:val="clear"/>
            <w:tcMar>
              <w:top w:type="dxa" w:w="60"/>
              <w:left w:type="dxa" w:w="100"/>
              <w:bottom w:type="dxa" w:w="60"/>
              <w:right w:type="dxa" w:w="100"/>
            </w:tcMar>
          </w:tcPr>
          <w:p>
            <w:r>
              <w:rPr>
                <w:rFonts w:ascii="Arial" w:cs="Arial" w:eastAsia="Arial" w:hAnsi="Arial"/>
                <w:sz w:val="15"/>
                <w:szCs w:val="15"/>
              </w:rPr>
              <w:t xml:space="preserve">20 Jul</w:t>
            </w:r>
          </w:p>
        </w:tc>
        <w:tc>
          <w:tcPr>
            <w:tcW w:type="dxa" w:w="1400"/>
            <w:shd w:fill="FFFFFF" w:val="clear"/>
            <w:tcMar>
              <w:top w:type="dxa" w:w="60"/>
              <w:left w:type="dxa" w:w="100"/>
              <w:bottom w:type="dxa" w:w="60"/>
              <w:right w:type="dxa" w:w="100"/>
            </w:tcMar>
          </w:tcPr>
          <w:p>
            <w:r>
              <w:rPr>
                <w:rFonts w:ascii="Arial" w:cs="Arial" w:eastAsia="Arial" w:hAnsi="Arial"/>
                <w:sz w:val="15"/>
                <w:szCs w:val="15"/>
              </w:rPr>
              <w:t xml:space="preserve">Letter</w:t>
            </w:r>
          </w:p>
        </w:tc>
        <w:tc>
          <w:tcPr>
            <w:tcW w:type="dxa" w:w="2400"/>
            <w:shd w:fill="FFFFFF" w:val="clear"/>
            <w:tcMar>
              <w:top w:type="dxa" w:w="60"/>
              <w:left w:type="dxa" w:w="100"/>
              <w:bottom w:type="dxa" w:w="60"/>
              <w:right w:type="dxa" w:w="100"/>
            </w:tcMar>
          </w:tcPr>
          <w:p>
            <w:r>
              <w:rPr>
                <w:rFonts w:ascii="Arial" w:cs="Arial" w:eastAsia="Arial" w:hAnsi="Arial"/>
                <w:sz w:val="15"/>
                <w:szCs w:val="15"/>
              </w:rPr>
              <w:t xml:space="preserve">King Felipe VI</w:t>
            </w:r>
          </w:p>
        </w:tc>
        <w:tc>
          <w:tcPr>
            <w:tcW w:type="dxa" w:w="3200"/>
            <w:shd w:fill="FFFFFF" w:val="clear"/>
            <w:tcMar>
              <w:top w:type="dxa" w:w="60"/>
              <w:left w:type="dxa" w:w="100"/>
              <w:bottom w:type="dxa" w:w="60"/>
              <w:right w:type="dxa" w:w="100"/>
            </w:tcMar>
          </w:tcPr>
          <w:p>
            <w:r>
              <w:rPr>
                <w:rFonts w:ascii="Arial" w:cs="Arial" w:eastAsia="Arial" w:hAnsi="Arial"/>
                <w:sz w:val="15"/>
                <w:szCs w:val="15"/>
              </w:rPr>
              <w:t xml:space="preserve">King of Spain</w:t>
            </w:r>
          </w:p>
        </w:tc>
        <w:tc>
          <w:tcPr>
            <w:tcW w:type="dxa" w:w="3400"/>
            <w:shd w:fill="FFFFFF" w:val="clear"/>
            <w:tcMar>
              <w:top w:type="dxa" w:w="60"/>
              <w:left w:type="dxa" w:w="100"/>
              <w:bottom w:type="dxa" w:w="60"/>
              <w:right w:type="dxa" w:w="100"/>
            </w:tcMar>
          </w:tcPr>
          <w:p>
            <w:r>
              <w:rPr>
                <w:rFonts w:ascii="Arial" w:cs="Arial" w:eastAsia="Arial" w:hAnsi="Arial"/>
                <w:sz w:val="15"/>
                <w:szCs w:val="15"/>
              </w:rPr>
              <w:t xml:space="preserve">Congratulations on Spain's 2026 FIFA World Cup victory</w:t>
            </w:r>
          </w:p>
        </w:tc>
      </w:tr>
      <w:tr>
        <w:tc>
          <w:tcPr>
            <w:tcW w:type="dxa" w:w="1000"/>
            <w:shd w:fill="F5F5F5" w:val="clear"/>
            <w:tcMar>
              <w:top w:type="dxa" w:w="60"/>
              <w:left w:type="dxa" w:w="100"/>
              <w:bottom w:type="dxa" w:w="60"/>
              <w:right w:type="dxa" w:w="100"/>
            </w:tcMar>
          </w:tcPr>
          <w:p>
            <w:r>
              <w:rPr>
                <w:rFonts w:ascii="Arial" w:cs="Arial" w:eastAsia="Arial" w:hAnsi="Arial"/>
                <w:sz w:val="15"/>
                <w:szCs w:val="15"/>
              </w:rPr>
              <w:t xml:space="preserve">15 Jul</w:t>
            </w:r>
          </w:p>
        </w:tc>
        <w:tc>
          <w:tcPr>
            <w:tcW w:type="dxa" w:w="1400"/>
            <w:shd w:fill="F5F5F5" w:val="clear"/>
            <w:tcMar>
              <w:top w:type="dxa" w:w="60"/>
              <w:left w:type="dxa" w:w="100"/>
              <w:bottom w:type="dxa" w:w="60"/>
              <w:right w:type="dxa" w:w="100"/>
            </w:tcMar>
          </w:tcPr>
          <w:p>
            <w:r>
              <w:rPr>
                <w:rFonts w:ascii="Arial" w:cs="Arial" w:eastAsia="Arial" w:hAnsi="Arial"/>
                <w:sz w:val="15"/>
                <w:szCs w:val="15"/>
              </w:rPr>
              <w:t xml:space="preserve">Letter</w:t>
            </w:r>
          </w:p>
        </w:tc>
        <w:tc>
          <w:tcPr>
            <w:tcW w:type="dxa" w:w="2400"/>
            <w:shd w:fill="F5F5F5" w:val="clear"/>
            <w:tcMar>
              <w:top w:type="dxa" w:w="60"/>
              <w:left w:type="dxa" w:w="100"/>
              <w:bottom w:type="dxa" w:w="60"/>
              <w:right w:type="dxa" w:w="100"/>
            </w:tcMar>
          </w:tcPr>
          <w:p>
            <w:r>
              <w:rPr>
                <w:rFonts w:ascii="Arial" w:cs="Arial" w:eastAsia="Arial" w:hAnsi="Arial"/>
                <w:sz w:val="15"/>
                <w:szCs w:val="15"/>
              </w:rPr>
              <w:t xml:space="preserve">Recep Tayyip Erdoğan</w:t>
            </w:r>
          </w:p>
        </w:tc>
        <w:tc>
          <w:tcPr>
            <w:tcW w:type="dxa" w:w="3200"/>
            <w:shd w:fill="F5F5F5" w:val="clear"/>
            <w:tcMar>
              <w:top w:type="dxa" w:w="60"/>
              <w:left w:type="dxa" w:w="100"/>
              <w:bottom w:type="dxa" w:w="60"/>
              <w:right w:type="dxa" w:w="100"/>
            </w:tcMar>
          </w:tcPr>
          <w:p>
            <w:r>
              <w:rPr>
                <w:rFonts w:ascii="Arial" w:cs="Arial" w:eastAsia="Arial" w:hAnsi="Arial"/>
                <w:sz w:val="15"/>
                <w:szCs w:val="15"/>
              </w:rPr>
              <w:t xml:space="preserve">President of Türkiye</w:t>
            </w:r>
          </w:p>
        </w:tc>
        <w:tc>
          <w:tcPr>
            <w:tcW w:type="dxa" w:w="3400"/>
            <w:shd w:fill="F5F5F5" w:val="clear"/>
            <w:tcMar>
              <w:top w:type="dxa" w:w="60"/>
              <w:left w:type="dxa" w:w="100"/>
              <w:bottom w:type="dxa" w:w="60"/>
              <w:right w:type="dxa" w:w="100"/>
            </w:tcMar>
          </w:tcPr>
          <w:p>
            <w:r>
              <w:rPr>
                <w:rFonts w:ascii="Arial" w:cs="Arial" w:eastAsia="Arial" w:hAnsi="Arial"/>
                <w:sz w:val="15"/>
                <w:szCs w:val="15"/>
              </w:rPr>
              <w:t xml:space="preserve">Message honouring victims of the 2016 coup attempt</w:t>
            </w:r>
          </w:p>
        </w:tc>
      </w:tr>
      <w:tr>
        <w:tc>
          <w:tcPr>
            <w:tcW w:type="dxa" w:w="1000"/>
            <w:shd w:fill="FFFFFF" w:val="clear"/>
            <w:tcMar>
              <w:top w:type="dxa" w:w="60"/>
              <w:left w:type="dxa" w:w="100"/>
              <w:bottom w:type="dxa" w:w="60"/>
              <w:right w:type="dxa" w:w="100"/>
            </w:tcMar>
          </w:tcPr>
          <w:p>
            <w:r>
              <w:rPr>
                <w:rFonts w:ascii="Arial" w:cs="Arial" w:eastAsia="Arial" w:hAnsi="Arial"/>
                <w:sz w:val="15"/>
                <w:szCs w:val="15"/>
              </w:rPr>
              <w:t xml:space="preserve">14 Jul</w:t>
            </w:r>
          </w:p>
        </w:tc>
        <w:tc>
          <w:tcPr>
            <w:tcW w:type="dxa" w:w="1400"/>
            <w:shd w:fill="FFFFFF" w:val="clear"/>
            <w:tcMar>
              <w:top w:type="dxa" w:w="60"/>
              <w:left w:type="dxa" w:w="100"/>
              <w:bottom w:type="dxa" w:w="60"/>
              <w:right w:type="dxa" w:w="100"/>
            </w:tcMar>
          </w:tcPr>
          <w:p>
            <w:r>
              <w:rPr>
                <w:rFonts w:ascii="Arial" w:cs="Arial" w:eastAsia="Arial" w:hAnsi="Arial"/>
                <w:sz w:val="15"/>
                <w:szCs w:val="15"/>
              </w:rPr>
              <w:t xml:space="preserve">Statement</w:t>
            </w:r>
          </w:p>
        </w:tc>
        <w:tc>
          <w:tcPr>
            <w:tcW w:type="dxa" w:w="2400"/>
            <w:shd w:fill="FFFFFF" w:val="clear"/>
            <w:tcMar>
              <w:top w:type="dxa" w:w="60"/>
              <w:left w:type="dxa" w:w="100"/>
              <w:bottom w:type="dxa" w:w="60"/>
              <w:right w:type="dxa" w:w="100"/>
            </w:tcMar>
          </w:tcPr>
          <w:p>
            <w:r>
              <w:rPr>
                <w:rFonts w:ascii="Arial" w:cs="Arial" w:eastAsia="Arial" w:hAnsi="Arial"/>
                <w:sz w:val="15"/>
                <w:szCs w:val="15"/>
              </w:rPr>
              <w:t xml:space="preserve">— (joint)</w:t>
            </w:r>
          </w:p>
        </w:tc>
        <w:tc>
          <w:tcPr>
            <w:tcW w:type="dxa" w:w="3200"/>
            <w:shd w:fill="FFFFFF" w:val="clear"/>
            <w:tcMar>
              <w:top w:type="dxa" w:w="60"/>
              <w:left w:type="dxa" w:w="100"/>
              <w:bottom w:type="dxa" w:w="60"/>
              <w:right w:type="dxa" w:w="100"/>
            </w:tcMar>
          </w:tcPr>
          <w:p>
            <w:r>
              <w:rPr>
                <w:rFonts w:ascii="Arial" w:cs="Arial" w:eastAsia="Arial" w:hAnsi="Arial"/>
                <w:sz w:val="15"/>
                <w:szCs w:val="15"/>
              </w:rPr>
              <w:t xml:space="preserve">Presidents of Azerbaijan &amp; Slovakia</w:t>
            </w:r>
          </w:p>
        </w:tc>
        <w:tc>
          <w:tcPr>
            <w:tcW w:type="dxa" w:w="3400"/>
            <w:shd w:fill="FFFFFF" w:val="clear"/>
            <w:tcMar>
              <w:top w:type="dxa" w:w="60"/>
              <w:left w:type="dxa" w:w="100"/>
              <w:bottom w:type="dxa" w:w="60"/>
              <w:right w:type="dxa" w:w="100"/>
            </w:tcMar>
          </w:tcPr>
          <w:p>
            <w:r>
              <w:rPr>
                <w:rFonts w:ascii="Arial" w:cs="Arial" w:eastAsia="Arial" w:hAnsi="Arial"/>
                <w:sz w:val="15"/>
                <w:szCs w:val="15"/>
              </w:rPr>
              <w:t xml:space="preserve">Joint press statement on bilateral relations and a visit to Garabagh</w:t>
            </w:r>
          </w:p>
        </w:tc>
      </w:tr>
      <w:tr>
        <w:tc>
          <w:tcPr>
            <w:tcW w:type="dxa" w:w="1000"/>
            <w:shd w:fill="F5F5F5" w:val="clear"/>
            <w:tcMar>
              <w:top w:type="dxa" w:w="60"/>
              <w:left w:type="dxa" w:w="100"/>
              <w:bottom w:type="dxa" w:w="60"/>
              <w:right w:type="dxa" w:w="100"/>
            </w:tcMar>
          </w:tcPr>
          <w:p>
            <w:r>
              <w:rPr>
                <w:rFonts w:ascii="Arial" w:cs="Arial" w:eastAsia="Arial" w:hAnsi="Arial"/>
                <w:sz w:val="15"/>
                <w:szCs w:val="15"/>
              </w:rPr>
              <w:t xml:space="preserve">14 Jul</w:t>
            </w:r>
          </w:p>
        </w:tc>
        <w:tc>
          <w:tcPr>
            <w:tcW w:type="dxa" w:w="1400"/>
            <w:shd w:fill="F5F5F5" w:val="clear"/>
            <w:tcMar>
              <w:top w:type="dxa" w:w="60"/>
              <w:left w:type="dxa" w:w="100"/>
              <w:bottom w:type="dxa" w:w="60"/>
              <w:right w:type="dxa" w:w="100"/>
            </w:tcMar>
          </w:tcPr>
          <w:p>
            <w:r>
              <w:rPr>
                <w:rFonts w:ascii="Arial" w:cs="Arial" w:eastAsia="Arial" w:hAnsi="Arial"/>
                <w:sz w:val="15"/>
                <w:szCs w:val="15"/>
              </w:rPr>
              <w:t xml:space="preserve">Letter</w:t>
            </w:r>
          </w:p>
        </w:tc>
        <w:tc>
          <w:tcPr>
            <w:tcW w:type="dxa" w:w="2400"/>
            <w:shd w:fill="F5F5F5" w:val="clear"/>
            <w:tcMar>
              <w:top w:type="dxa" w:w="60"/>
              <w:left w:type="dxa" w:w="100"/>
              <w:bottom w:type="dxa" w:w="60"/>
              <w:right w:type="dxa" w:w="100"/>
            </w:tcMar>
          </w:tcPr>
          <w:p>
            <w:r>
              <w:rPr>
                <w:rFonts w:ascii="Arial" w:cs="Arial" w:eastAsia="Arial" w:hAnsi="Arial"/>
                <w:sz w:val="15"/>
                <w:szCs w:val="15"/>
              </w:rPr>
              <w:t xml:space="preserve">Emmanuel Macron</w:t>
            </w:r>
          </w:p>
        </w:tc>
        <w:tc>
          <w:tcPr>
            <w:tcW w:type="dxa" w:w="3200"/>
            <w:shd w:fill="F5F5F5" w:val="clear"/>
            <w:tcMar>
              <w:top w:type="dxa" w:w="60"/>
              <w:left w:type="dxa" w:w="100"/>
              <w:bottom w:type="dxa" w:w="60"/>
              <w:right w:type="dxa" w:w="100"/>
            </w:tcMar>
          </w:tcPr>
          <w:p>
            <w:r>
              <w:rPr>
                <w:rFonts w:ascii="Arial" w:cs="Arial" w:eastAsia="Arial" w:hAnsi="Arial"/>
                <w:sz w:val="15"/>
                <w:szCs w:val="15"/>
              </w:rPr>
              <w:t xml:space="preserve">President of the French Republic</w:t>
            </w:r>
          </w:p>
        </w:tc>
        <w:tc>
          <w:tcPr>
            <w:tcW w:type="dxa" w:w="3400"/>
            <w:shd w:fill="F5F5F5" w:val="clear"/>
            <w:tcMar>
              <w:top w:type="dxa" w:w="60"/>
              <w:left w:type="dxa" w:w="100"/>
              <w:bottom w:type="dxa" w:w="60"/>
              <w:right w:type="dxa" w:w="100"/>
            </w:tcMar>
          </w:tcPr>
          <w:p>
            <w:r>
              <w:rPr>
                <w:rFonts w:ascii="Arial" w:cs="Arial" w:eastAsia="Arial" w:hAnsi="Arial"/>
                <w:sz w:val="15"/>
                <w:szCs w:val="15"/>
              </w:rPr>
              <w:t xml:space="preserve">French National Day congratulations</w:t>
            </w:r>
          </w:p>
        </w:tc>
      </w:tr>
      <w:tr>
        <w:tc>
          <w:tcPr>
            <w:tcW w:type="dxa" w:w="1000"/>
            <w:shd w:fill="FFFFFF" w:val="clear"/>
            <w:tcMar>
              <w:top w:type="dxa" w:w="60"/>
              <w:left w:type="dxa" w:w="100"/>
              <w:bottom w:type="dxa" w:w="60"/>
              <w:right w:type="dxa" w:w="100"/>
            </w:tcMar>
          </w:tcPr>
          <w:p>
            <w:r>
              <w:rPr>
                <w:rFonts w:ascii="Arial" w:cs="Arial" w:eastAsia="Arial" w:hAnsi="Arial"/>
                <w:sz w:val="15"/>
                <w:szCs w:val="15"/>
              </w:rPr>
              <w:t xml:space="preserve">13 Jul</w:t>
            </w:r>
          </w:p>
        </w:tc>
        <w:tc>
          <w:tcPr>
            <w:tcW w:type="dxa" w:w="1400"/>
            <w:shd w:fill="FFFFFF" w:val="clear"/>
            <w:tcMar>
              <w:top w:type="dxa" w:w="60"/>
              <w:left w:type="dxa" w:w="100"/>
              <w:bottom w:type="dxa" w:w="60"/>
              <w:right w:type="dxa" w:w="100"/>
            </w:tcMar>
          </w:tcPr>
          <w:p>
            <w:r>
              <w:rPr>
                <w:rFonts w:ascii="Arial" w:cs="Arial" w:eastAsia="Arial" w:hAnsi="Arial"/>
                <w:sz w:val="15"/>
                <w:szCs w:val="15"/>
              </w:rPr>
              <w:t xml:space="preserve">Letter</w:t>
            </w:r>
          </w:p>
        </w:tc>
        <w:tc>
          <w:tcPr>
            <w:tcW w:type="dxa" w:w="2400"/>
            <w:shd w:fill="FFFFFF" w:val="clear"/>
            <w:tcMar>
              <w:top w:type="dxa" w:w="60"/>
              <w:left w:type="dxa" w:w="100"/>
              <w:bottom w:type="dxa" w:w="60"/>
              <w:right w:type="dxa" w:w="100"/>
            </w:tcMar>
          </w:tcPr>
          <w:p>
            <w:r>
              <w:rPr>
                <w:rFonts w:ascii="Arial" w:cs="Arial" w:eastAsia="Arial" w:hAnsi="Arial"/>
                <w:sz w:val="15"/>
                <w:szCs w:val="15"/>
              </w:rPr>
              <w:t xml:space="preserve">Jakov Milatović</w:t>
            </w:r>
          </w:p>
        </w:tc>
        <w:tc>
          <w:tcPr>
            <w:tcW w:type="dxa" w:w="3200"/>
            <w:shd w:fill="FFFFFF" w:val="clear"/>
            <w:tcMar>
              <w:top w:type="dxa" w:w="60"/>
              <w:left w:type="dxa" w:w="100"/>
              <w:bottom w:type="dxa" w:w="60"/>
              <w:right w:type="dxa" w:w="100"/>
            </w:tcMar>
          </w:tcPr>
          <w:p>
            <w:r>
              <w:rPr>
                <w:rFonts w:ascii="Arial" w:cs="Arial" w:eastAsia="Arial" w:hAnsi="Arial"/>
                <w:sz w:val="15"/>
                <w:szCs w:val="15"/>
              </w:rPr>
              <w:t xml:space="preserve">President of Montenegro</w:t>
            </w:r>
          </w:p>
        </w:tc>
        <w:tc>
          <w:tcPr>
            <w:tcW w:type="dxa" w:w="3400"/>
            <w:shd w:fill="FFFFFF" w:val="clear"/>
            <w:tcMar>
              <w:top w:type="dxa" w:w="60"/>
              <w:left w:type="dxa" w:w="100"/>
              <w:bottom w:type="dxa" w:w="60"/>
              <w:right w:type="dxa" w:w="100"/>
            </w:tcMar>
          </w:tcPr>
          <w:p>
            <w:r>
              <w:rPr>
                <w:rFonts w:ascii="Arial" w:cs="Arial" w:eastAsia="Arial" w:hAnsi="Arial"/>
                <w:sz w:val="15"/>
                <w:szCs w:val="15"/>
              </w:rPr>
              <w:t xml:space="preserve">Statehood Day congratulations</w:t>
            </w:r>
          </w:p>
        </w:tc>
      </w:tr>
      <w:tr>
        <w:tc>
          <w:tcPr>
            <w:tcW w:type="dxa" w:w="1000"/>
            <w:shd w:fill="F5F5F5" w:val="clear"/>
            <w:tcMar>
              <w:top w:type="dxa" w:w="60"/>
              <w:left w:type="dxa" w:w="100"/>
              <w:bottom w:type="dxa" w:w="60"/>
              <w:right w:type="dxa" w:w="100"/>
            </w:tcMar>
          </w:tcPr>
          <w:p>
            <w:r>
              <w:rPr>
                <w:rFonts w:ascii="Arial" w:cs="Arial" w:eastAsia="Arial" w:hAnsi="Arial"/>
                <w:sz w:val="15"/>
                <w:szCs w:val="15"/>
              </w:rPr>
              <w:t xml:space="preserve">11 Jul</w:t>
            </w:r>
          </w:p>
        </w:tc>
        <w:tc>
          <w:tcPr>
            <w:tcW w:type="dxa" w:w="1400"/>
            <w:shd w:fill="F5F5F5" w:val="clear"/>
            <w:tcMar>
              <w:top w:type="dxa" w:w="60"/>
              <w:left w:type="dxa" w:w="100"/>
              <w:bottom w:type="dxa" w:w="60"/>
              <w:right w:type="dxa" w:w="100"/>
            </w:tcMar>
          </w:tcPr>
          <w:p>
            <w:r>
              <w:rPr>
                <w:rFonts w:ascii="Arial" w:cs="Arial" w:eastAsia="Arial" w:hAnsi="Arial"/>
                <w:sz w:val="15"/>
                <w:szCs w:val="15"/>
              </w:rPr>
              <w:t xml:space="preserve">Letter</w:t>
            </w:r>
          </w:p>
        </w:tc>
        <w:tc>
          <w:tcPr>
            <w:tcW w:type="dxa" w:w="2400"/>
            <w:shd w:fill="F5F5F5" w:val="clear"/>
            <w:tcMar>
              <w:top w:type="dxa" w:w="60"/>
              <w:left w:type="dxa" w:w="100"/>
              <w:bottom w:type="dxa" w:w="60"/>
              <w:right w:type="dxa" w:w="100"/>
            </w:tcMar>
          </w:tcPr>
          <w:p>
            <w:r>
              <w:rPr>
                <w:rFonts w:ascii="Arial" w:cs="Arial" w:eastAsia="Arial" w:hAnsi="Arial"/>
                <w:sz w:val="15"/>
                <w:szCs w:val="15"/>
              </w:rPr>
              <w:t xml:space="preserve">Ukhnaagiin Khurelsukh</w:t>
            </w:r>
          </w:p>
        </w:tc>
        <w:tc>
          <w:tcPr>
            <w:tcW w:type="dxa" w:w="3200"/>
            <w:shd w:fill="F5F5F5" w:val="clear"/>
            <w:tcMar>
              <w:top w:type="dxa" w:w="60"/>
              <w:left w:type="dxa" w:w="100"/>
              <w:bottom w:type="dxa" w:w="60"/>
              <w:right w:type="dxa" w:w="100"/>
            </w:tcMar>
          </w:tcPr>
          <w:p>
            <w:r>
              <w:rPr>
                <w:rFonts w:ascii="Arial" w:cs="Arial" w:eastAsia="Arial" w:hAnsi="Arial"/>
                <w:sz w:val="15"/>
                <w:szCs w:val="15"/>
              </w:rPr>
              <w:t xml:space="preserve">President of Mongolia</w:t>
            </w:r>
          </w:p>
        </w:tc>
        <w:tc>
          <w:tcPr>
            <w:tcW w:type="dxa" w:w="3400"/>
            <w:shd w:fill="F5F5F5" w:val="clear"/>
            <w:tcMar>
              <w:top w:type="dxa" w:w="60"/>
              <w:left w:type="dxa" w:w="100"/>
              <w:bottom w:type="dxa" w:w="60"/>
              <w:right w:type="dxa" w:w="100"/>
            </w:tcMar>
          </w:tcPr>
          <w:p>
            <w:r>
              <w:rPr>
                <w:rFonts w:ascii="Arial" w:cs="Arial" w:eastAsia="Arial" w:hAnsi="Arial"/>
                <w:sz w:val="15"/>
                <w:szCs w:val="15"/>
              </w:rPr>
              <w:t xml:space="preserve">National holiday greetings</w:t>
            </w:r>
          </w:p>
        </w:tc>
      </w:tr>
    </w:tbl>
    <w:p>
      <w:pPr>
        <w:spacing w:before="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648"/>
      </w:tblGrid>
      <w:tr>
        <w:tc>
          <w:tcPr>
            <w:tcW w:type="dxa" w:w="9648"/>
            <w:tcBorders>
              <w:top w:val="dashed" w:color="AAAAAA" w:sz="4"/>
              <w:left w:val="dashed" w:color="AAAAAA" w:sz="4"/>
              <w:bottom w:val="dashed" w:color="AAAAAA" w:sz="4"/>
              <w:right w:val="dashed" w:color="AAAAAA" w:sz="4"/>
            </w:tcBorders>
            <w:shd w:fill="F8F8F8" w:val="clear"/>
            <w:tcMar>
              <w:top w:type="dxa" w:w="100"/>
              <w:left w:type="dxa" w:w="140"/>
              <w:bottom w:type="dxa" w:w="100"/>
              <w:right w:type="dxa" w:w="140"/>
            </w:tcMar>
          </w:tcPr>
          <w:p>
            <w:r>
              <w:rPr>
                <w:rFonts w:ascii="Arial" w:cs="Arial" w:eastAsia="Arial" w:hAnsi="Arial"/>
                <w:b/>
                <w:bCs/>
                <w:color w:val="333333"/>
                <w:sz w:val="17"/>
                <w:szCs w:val="17"/>
              </w:rPr>
              <w:t xml:space="preserve">Note on Decrees &amp; Orders: </w:t>
            </w:r>
            <w:r>
              <w:rPr>
                <w:rFonts w:ascii="Arial" w:cs="Arial" w:eastAsia="Arial" w:hAnsi="Arial"/>
                <w:color w:val="555555"/>
                <w:sz w:val="17"/>
                <w:szCs w:val="17"/>
              </w:rPr>
              <w:t xml:space="preserve">Presidential decrees and orders were not visible in the current listing format at compilation time. Firms tracking a specific decree should verify directly on the president.az documents portal rather than relying on this digest alone.</w:t>
            </w:r>
          </w:p>
        </w:tc>
      </w:tr>
    </w:tbl>
    <w:p>
      <w:pPr>
        <w:pBdr>
          <w:top w:val="single" w:color="1A1A1A" w:sz="12" w:space="4"/>
          <w:bottom w:val="single" w:color="CCCCCC" w:sz="4" w:space="4"/>
        </w:pBdr>
        <w:tabs>
          <w:tab w:val="right" w:pos="9648"/>
        </w:tabs>
        <w:spacing w:after="120" w:before="320"/>
      </w:pPr>
      <w:r>
        <w:rPr>
          <w:rFonts w:ascii="Arial" w:cs="Arial" w:eastAsia="Arial" w:hAnsi="Arial"/>
          <w:b w:val="false"/>
          <w:bCs w:val="false"/>
          <w:color w:val="777777"/>
          <w:spacing w:val="16"/>
          <w:sz w:val="13"/>
          <w:szCs w:val="13"/>
        </w:rPr>
        <w:t xml:space="preserve">ALI MƏHKƏMƏ ORQANI   </w:t>
      </w:r>
      <w:r>
        <w:rPr>
          <w:b/>
          <w:bCs/>
          <w:sz w:val="30"/>
          <w:szCs w:val="30"/>
        </w:rPr>
        <w:br/>
        <w:t xml:space="preserve">Constitutional Court</w:t>
      </w:r>
      <w:r>
        <w:rPr>
          <w:rFonts w:ascii="Arial" w:cs="Arial" w:eastAsia="Arial" w:hAnsi="Arial"/>
          <w:i/>
          <w:iCs/>
          <w:color w:val="888888"/>
          <w:sz w:val="16"/>
          <w:szCs w:val="16"/>
        </w:rPr>
        <w:t xml:space="preserve">	Decisions — constcourt.gov.az</w:t>
      </w:r>
    </w:p>
    <w:tbl>
      <w:tblPr>
        <w:tblW w:type="dxa" w:w="964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648"/>
      </w:tblGrid>
      <w:tr>
        <w:tc>
          <w:tcPr>
            <w:tcW w:type="dxa" w:w="9648"/>
            <w:tcBorders>
              <w:top w:val="single" w:color="E0C060" w:sz="4"/>
              <w:left w:val="single" w:color="C0A000" w:sz="24"/>
              <w:bottom w:val="single" w:color="E0C060" w:sz="4"/>
              <w:right w:val="single" w:color="E0C060" w:sz="4"/>
            </w:tcBorders>
            <w:shd w:fill="FFF8E1" w:val="clear"/>
            <w:tcMar>
              <w:top w:type="dxa" w:w="100"/>
              <w:left w:type="dxa" w:w="140"/>
              <w:bottom w:type="dxa" w:w="100"/>
              <w:right w:type="dxa" w:w="140"/>
            </w:tcMar>
          </w:tcPr>
          <w:p>
            <w:r>
              <w:rPr>
                <w:rFonts w:ascii="Arial" w:cs="Arial" w:eastAsia="Arial" w:hAnsi="Arial"/>
                <w:b/>
                <w:bCs/>
                <w:color w:val="6B5900"/>
                <w:sz w:val="17"/>
                <w:szCs w:val="17"/>
              </w:rPr>
              <w:t xml:space="preserve">No New Decisions. </w:t>
            </w:r>
            <w:r>
              <w:rPr>
                <w:rFonts w:ascii="Arial" w:cs="Arial" w:eastAsia="Arial" w:hAnsi="Arial"/>
                <w:color w:val="6B5900"/>
                <w:sz w:val="17"/>
                <w:szCs w:val="17"/>
              </w:rPr>
              <w:t xml:space="preserve">No Constitutional Court decisions were dated within the 11–22 July 2026 reporting period. The most recent published decision on the portal remains dated 25 June 2026 (interpretation concerning the Law on combating money laundering and terrorism financing).</w:t>
            </w:r>
          </w:p>
        </w:tc>
      </w:tr>
    </w:tbl>
    <w:p>
      <w:pPr>
        <w:pBdr>
          <w:top w:val="single" w:color="1A1A1A" w:sz="12" w:space="4"/>
          <w:bottom w:val="single" w:color="CCCCCC" w:sz="4" w:space="4"/>
        </w:pBdr>
        <w:tabs>
          <w:tab w:val="right" w:pos="9648"/>
        </w:tabs>
        <w:spacing w:after="120" w:before="320"/>
      </w:pPr>
      <w:r>
        <w:rPr>
          <w:rFonts w:ascii="Arial" w:cs="Arial" w:eastAsia="Arial" w:hAnsi="Arial"/>
          <w:b w:val="false"/>
          <w:bCs w:val="false"/>
          <w:color w:val="777777"/>
          <w:spacing w:val="16"/>
          <w:sz w:val="13"/>
          <w:szCs w:val="13"/>
        </w:rPr>
        <w:t xml:space="preserve">OFFICIAL LEGISLATIVE DATABASE   </w:t>
      </w:r>
      <w:r>
        <w:rPr>
          <w:b/>
          <w:bCs/>
          <w:sz w:val="30"/>
          <w:szCs w:val="30"/>
        </w:rPr>
        <w:br/>
        <w:t xml:space="preserve">e-Qanun</w:t>
      </w:r>
      <w:r>
        <w:rPr>
          <w:rFonts w:ascii="Arial" w:cs="Arial" w:eastAsia="Arial" w:hAnsi="Arial"/>
          <w:i/>
          <w:iCs/>
          <w:color w:val="888888"/>
          <w:sz w:val="16"/>
          <w:szCs w:val="16"/>
        </w:rPr>
        <w:t xml:space="preserve">	Normative Acts Register — e-qanun.az</w:t>
      </w:r>
    </w:p>
    <w:tbl>
      <w:tblPr>
        <w:tblW w:type="dxa" w:w="964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648"/>
      </w:tblGrid>
      <w:tr>
        <w:tc>
          <w:tcPr>
            <w:tcW w:type="dxa" w:w="9648"/>
            <w:tcBorders>
              <w:top w:val="single" w:color="E0C060" w:sz="4"/>
              <w:left w:val="single" w:color="C0A000" w:sz="24"/>
              <w:bottom w:val="single" w:color="E0C060" w:sz="4"/>
              <w:right w:val="single" w:color="E0C060" w:sz="4"/>
            </w:tcBorders>
            <w:shd w:fill="FFF8E1" w:val="clear"/>
            <w:tcMar>
              <w:top w:type="dxa" w:w="100"/>
              <w:left w:type="dxa" w:w="140"/>
              <w:bottom w:type="dxa" w:w="100"/>
              <w:right w:type="dxa" w:w="140"/>
            </w:tcMar>
          </w:tcPr>
          <w:p>
            <w:r>
              <w:rPr>
                <w:rFonts w:ascii="Arial" w:cs="Arial" w:eastAsia="Arial" w:hAnsi="Arial"/>
                <w:b/>
                <w:bCs/>
                <w:color w:val="6B5900"/>
                <w:sz w:val="17"/>
                <w:szCs w:val="17"/>
              </w:rPr>
              <w:t xml:space="preserve">Data Not Extractable. </w:t>
            </w:r>
            <w:r>
              <w:rPr>
                <w:rFonts w:ascii="Arial" w:cs="Arial" w:eastAsia="Arial" w:hAnsi="Arial"/>
                <w:color w:val="6B5900"/>
                <w:sz w:val="17"/>
                <w:szCs w:val="17"/>
              </w:rPr>
              <w:t xml:space="preserve">The e-Qanun portal renders its content dynamically via JavaScript and exposed no static listing at compilation time. Readers should consult the portal directly for consolidated texts of any acts enacted during the reporting period.</w:t>
            </w:r>
          </w:p>
        </w:tc>
      </w:tr>
    </w:tbl>
    <w:p>
      <w:r>
        <w:br w:type="pag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c>
          <w:tcPr>
            <w:tcW w:type="dxa" w:w="9648"/>
            <w:gridSpan w:val="2"/>
            <w:tcBorders>
              <w:top w:val="single" w:color="CCCCCC" w:sz="4"/>
              <w:left w:val="single" w:color="CCCCCC" w:sz="4"/>
              <w:bottom w:val="none" w:color="FFFFFF" w:sz="0"/>
              <w:right w:val="single" w:color="CCCCCC" w:sz="4"/>
            </w:tcBorders>
            <w:shd w:fill="F0EDE6" w:val="clear"/>
            <w:tcMar>
              <w:top w:type="dxa" w:w="120"/>
              <w:left w:type="dxa" w:w="100"/>
              <w:bottom w:type="dxa" w:w="0"/>
              <w:right w:type="dxa" w:w="100"/>
            </w:tcMar>
          </w:tcPr>
          <w:p>
            <w:pPr>
              <w:pBdr>
                <w:bottom w:val="single" w:color="CCCCCC" w:sz="4" w:space="2"/>
              </w:pBdr>
              <w:spacing w:after="60"/>
            </w:pPr>
            <w:r>
              <w:rPr>
                <w:rFonts w:ascii="Arial" w:cs="Arial" w:eastAsia="Arial" w:hAnsi="Arial"/>
                <w:b/>
                <w:bCs/>
                <w:color w:val="777777"/>
                <w:spacing w:val="16"/>
                <w:sz w:val="13"/>
                <w:szCs w:val="13"/>
              </w:rPr>
              <w:t xml:space="preserve">REGULATORY SPOTLIGHT — KEY THEMES, WEEKS 29–30 / 2026</w:t>
            </w:r>
          </w:p>
        </w:tc>
      </w:tr>
      <w:tr>
        <w:tc>
          <w:tcPr>
            <w:tcW w:type="dxa" w:w="4824"/>
            <w:tcBorders>
              <w:top w:val="none" w:color="FFFFFF" w:sz="0"/>
              <w:left w:val="single" w:color="CCCCCC" w:sz="4"/>
              <w:bottom w:val="none" w:color="FFFFFF" w:sz="0"/>
              <w:right w:val="single" w:color="CCCCCC" w:sz="4"/>
            </w:tcBorders>
            <w:shd w:fill="F0EDE6" w:val="clear"/>
            <w:tcMar>
              <w:top w:type="dxa" w:w="100"/>
              <w:left w:type="dxa" w:w="100"/>
              <w:bottom w:type="dxa" w:w="100"/>
              <w:right w:type="dxa" w:w="100"/>
            </w:tcMar>
          </w:tcPr>
          <w:p>
            <w:pPr>
              <w:spacing w:after="40"/>
            </w:pPr>
            <w:r>
              <w:rPr>
                <w:b/>
                <w:bCs/>
                <w:sz w:val="19"/>
                <w:szCs w:val="19"/>
              </w:rPr>
              <w:t xml:space="preserve">1. The 14 July Omnibus — Broadest Package Tracked to Date</w:t>
            </w:r>
          </w:p>
          <w:p>
            <w:r>
              <w:rPr>
                <w:color w:val="444444"/>
                <w:sz w:val="17"/>
                <w:szCs w:val="17"/>
              </w:rPr>
              <w:t xml:space="preserve">Nineteen bills tabled in one sitting, spanning the Civil, Criminal, Tax, Labor, Land, Administrative Offenses and Migration Codes plus a new Crowdfunding law and Constitutional Law on Normative Acts amendment. The sheer breadth suggests a coordinated legislative push ahead of the autumn session. Corporate, tax, employment, and land-use practices should each nominate an owner to track the relevant sub-package through committee review — the Land Code changes (items 12–13) and the Tax/Migration/Procurement package (item 6) look most commercially consequential.</w:t>
            </w:r>
          </w:p>
        </w:tc>
        <w:tc>
          <w:tcPr>
            <w:tcW w:type="dxa" w:w="4824"/>
            <w:tcBorders>
              <w:top w:val="none" w:color="FFFFFF" w:sz="0"/>
              <w:left w:val="single" w:color="CCCCCC" w:sz="4"/>
              <w:bottom w:val="none" w:color="FFFFFF" w:sz="0"/>
              <w:right w:val="single" w:color="CCCCCC" w:sz="4"/>
            </w:tcBorders>
            <w:shd w:fill="F0EDE6" w:val="clear"/>
            <w:tcMar>
              <w:top w:type="dxa" w:w="100"/>
              <w:left w:type="dxa" w:w="100"/>
              <w:bottom w:type="dxa" w:w="100"/>
              <w:right w:type="dxa" w:w="100"/>
            </w:tcMar>
          </w:tcPr>
          <w:p>
            <w:pPr>
              <w:spacing w:after="40"/>
            </w:pPr>
            <w:r>
              <w:rPr>
                <w:b/>
                <w:bCs/>
                <w:sz w:val="19"/>
                <w:szCs w:val="19"/>
              </w:rPr>
              <w:t xml:space="preserve">2. National AI Priority Sectors Designated</w:t>
            </w:r>
          </w:p>
          <w:p>
            <w:r>
              <w:rPr>
                <w:color w:val="444444"/>
                <w:sz w:val="17"/>
                <w:szCs w:val="17"/>
              </w:rPr>
              <w:t xml:space="preserve">Cabinet Decision No. 226 (21 July) approves the national priority sectors for artificial intelligence development and names the responsible state agencies. This is the first sector-level operationalisation of Azerbaijan's AI strategy at Cabinet level — clients in technology, data-intensive services, and any sector that ends up on the priority list should expect follow-on regulation, incentives, and procurement activity. Obtain the full sector list from e-qanun.az once gazetted.</w:t>
            </w:r>
          </w:p>
        </w:tc>
      </w:tr>
      <w:tr>
        <w:tc>
          <w:tcPr>
            <w:tcW w:type="dxa" w:w="4824"/>
            <w:tcBorders>
              <w:top w:val="none" w:color="FFFFFF" w:sz="0"/>
              <w:left w:val="single" w:color="CCCCCC" w:sz="4"/>
              <w:bottom w:val="single" w:color="CCCCCC" w:sz="4"/>
              <w:right w:val="single" w:color="CCCCCC" w:sz="4"/>
            </w:tcBorders>
            <w:shd w:fill="F0EDE6" w:val="clear"/>
            <w:tcMar>
              <w:top w:type="dxa" w:w="100"/>
              <w:left w:type="dxa" w:w="100"/>
              <w:bottom w:type="dxa" w:w="100"/>
              <w:right w:type="dxa" w:w="100"/>
            </w:tcMar>
          </w:tcPr>
          <w:p>
            <w:pPr>
              <w:spacing w:after="40"/>
            </w:pPr>
            <w:r>
              <w:rPr>
                <w:b/>
                <w:bCs/>
                <w:sz w:val="19"/>
                <w:szCs w:val="19"/>
              </w:rPr>
              <w:t xml:space="preserve">3. Azerbaijan–Germany Strategic Agenda</w:t>
            </w:r>
          </w:p>
          <w:p>
            <w:r>
              <w:rPr>
                <w:color w:val="444444"/>
                <w:sz w:val="17"/>
                <w:szCs w:val="17"/>
              </w:rPr>
              <w:t xml:space="preserve">The 21 July state visit to Berlin produced a Joint Declaration on a Strategic Agenda for the bilateral partnership with Germany. While not itself a normative act, declarations of this kind typically precede sector agreements (energy, infrastructure, investment protection). German-linked clients and inbound-investment practices should monitor for implementing instruments in the coming months.</w:t>
            </w:r>
          </w:p>
        </w:tc>
        <w:tc>
          <w:tcPr>
            <w:tcW w:type="dxa" w:w="4824"/>
            <w:tcBorders>
              <w:top w:val="none" w:color="FFFFFF" w:sz="0"/>
              <w:left w:val="single" w:color="CCCCCC" w:sz="4"/>
              <w:bottom w:val="single" w:color="CCCCCC" w:sz="4"/>
              <w:right w:val="single" w:color="CCCCCC" w:sz="4"/>
            </w:tcBorders>
            <w:shd w:fill="F0EDE6" w:val="clear"/>
            <w:tcMar>
              <w:top w:type="dxa" w:w="100"/>
              <w:left w:type="dxa" w:w="100"/>
              <w:bottom w:type="dxa" w:w="100"/>
              <w:right w:type="dxa" w:w="100"/>
            </w:tcMar>
          </w:tcPr>
          <w:p>
            <w:pPr>
              <w:spacing w:after="40"/>
            </w:pPr>
            <w:r>
              <w:rPr>
                <w:b/>
                <w:bCs/>
                <w:sz w:val="19"/>
                <w:szCs w:val="19"/>
              </w:rPr>
              <w:t xml:space="preserve">4. Crowdfunding Law &amp; Procurement Amendment</w:t>
            </w:r>
          </w:p>
          <w:p>
            <w:r>
              <w:rPr>
                <w:color w:val="444444"/>
                <w:sz w:val="17"/>
                <w:szCs w:val="17"/>
              </w:rPr>
              <w:t xml:space="preserve">The standalone "On Crowdfunding" bill would be Azerbaijan's first dedicated regime for crowdfunding platforms — fintech clients should track it through subsequent readings. Meanwhile, Law No. 447-VIIQD (13 July) has already amended the Law "On State Procurement", and the 14 July omnibus (item 6) proposes further procurement changes — suppliers to the state should review both together.</w:t>
            </w:r>
          </w:p>
        </w:tc>
      </w:tr>
    </w:tbl>
    <w:p>
      <w:pPr>
        <w:spacing w:before="400"/>
      </w:pPr>
    </w:p>
    <w:p>
      <w:pPr>
        <w:pBdr>
          <w:top w:val="single" w:color="1A1A1A" w:sz="16" w:space="6"/>
        </w:pBdr>
        <w:spacing w:after="120" w:before="200"/>
      </w:pPr>
    </w:p>
    <w:p>
      <w:r>
        <w:rPr>
          <w:rFonts w:ascii="Arial" w:cs="Arial" w:eastAsia="Arial" w:hAnsi="Arial"/>
          <w:b/>
          <w:bCs/>
          <w:color w:val="777777"/>
          <w:sz w:val="15"/>
          <w:szCs w:val="15"/>
        </w:rPr>
        <w:t xml:space="preserve">Omni Law Gazette </w:t>
      </w:r>
      <w:r>
        <w:rPr>
          <w:rFonts w:ascii="Arial" w:cs="Arial" w:eastAsia="Arial" w:hAnsi="Arial"/>
          <w:color w:val="777777"/>
          <w:sz w:val="15"/>
          <w:szCs w:val="15"/>
        </w:rPr>
        <w:t xml:space="preserve">is an internal digest compiled by Omni Law Firm for informational purposes only. It does not constitute legal advice. Document descriptions are derived from official government portals; readers should consult primary sources and full texts before relying on any item. Sources: president.az · nk.gov.az · meclis.gov.az · e-qanun.az · constcourt.gov.az</w:t>
      </w:r>
    </w:p>
    <w:p>
      <w:pPr>
        <w:spacing w:before="160"/>
        <w:jc w:val="right"/>
      </w:pPr>
      <w:r>
        <w:rPr>
          <w:rFonts w:ascii="Arial" w:cs="Arial" w:eastAsia="Arial" w:hAnsi="Arial"/>
          <w:b/>
          <w:bCs/>
          <w:color w:val="777777"/>
          <w:sz w:val="15"/>
          <w:szCs w:val="15"/>
        </w:rPr>
        <w:t xml:space="preserve">Issue No. 6</w:t>
      </w:r>
    </w:p>
    <w:p>
      <w:pPr>
        <w:jc w:val="right"/>
      </w:pPr>
      <w:r>
        <w:rPr>
          <w:rFonts w:ascii="Arial" w:cs="Arial" w:eastAsia="Arial" w:hAnsi="Arial"/>
          <w:color w:val="777777"/>
          <w:sz w:val="15"/>
          <w:szCs w:val="15"/>
        </w:rPr>
        <w:t xml:space="preserve">Week of 11–22 July 2026</w:t>
      </w:r>
    </w:p>
    <w:p>
      <w:pPr>
        <w:jc w:val="right"/>
      </w:pPr>
      <w:r>
        <w:rPr>
          <w:rFonts w:ascii="Arial" w:cs="Arial" w:eastAsia="Arial" w:hAnsi="Arial"/>
          <w:color w:val="777777"/>
          <w:sz w:val="15"/>
          <w:szCs w:val="15"/>
        </w:rPr>
        <w:t xml:space="preserve">Compiled: 22 July 2026</w:t>
      </w:r>
    </w:p>
    <w:p>
      <w:pPr>
        <w:jc w:val="right"/>
      </w:pPr>
      <w:r>
        <w:rPr>
          <w:rFonts w:ascii="Arial" w:cs="Arial" w:eastAsia="Arial" w:hAnsi="Arial"/>
          <w:color w:val="777777"/>
          <w:sz w:val="15"/>
          <w:szCs w:val="15"/>
        </w:rPr>
        <w:t xml:space="preserve">© 2026 Omni Law Firm</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3"/>
        <w:szCs w:val="13"/>
      </w:rPr>
      <w:t xml:space="preserve">Omni Law Gazette · Issue No. 6 · Internal circulation only · Page </w:t>
    </w:r>
    <w:r>
      <w:rPr>
        <w:rFonts w:ascii="Arial" w:cs="Arial" w:eastAsia="Arial" w:hAnsi="Arial"/>
        <w:color w:val="99999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center" w:pos="4824"/>
        <w:tab w:val="right" w:pos="9648"/>
      </w:tabs>
    </w:pPr>
    <w:r>
      <w:rPr>
        <w:rFonts w:ascii="Arial" w:cs="Arial" w:eastAsia="Arial" w:hAnsi="Arial"/>
        <w:color w:val="555555"/>
        <w:sz w:val="13"/>
        <w:szCs w:val="13"/>
      </w:rPr>
      <w:t xml:space="preserve">ISSN 0000-0000 (PROTOTYPE)</w:t>
    </w:r>
    <w:r>
      <w:rPr>
        <w:rFonts w:ascii="Arial" w:cs="Arial" w:eastAsia="Arial" w:hAnsi="Arial"/>
        <w:color w:val="555555"/>
        <w:sz w:val="13"/>
        <w:szCs w:val="13"/>
      </w:rPr>
      <w:t xml:space="preserve">	INTERNAL CIRCULATION — OMNI LAW FIRM</w:t>
    </w:r>
    <w:r>
      <w:rPr>
        <w:rFonts w:ascii="Arial" w:cs="Arial" w:eastAsia="Arial" w:hAnsi="Arial"/>
        <w:color w:val="555555"/>
        <w:sz w:val="13"/>
        <w:szCs w:val="13"/>
      </w:rPr>
      <w:t xml:space="preserve">	omni-law-gazette.internal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2026-07-22T10:27:33.151Z</dcterms:created>
  <dcterms:modified xsi:type="dcterms:W3CDTF">2026-07-22T10:27:33.168Z</dcterms:modified>
</cp:coreProperties>
</file>

<file path=docProps/custom.xml><?xml version="1.0" encoding="utf-8"?>
<Properties xmlns="http://schemas.openxmlformats.org/officeDocument/2006/custom-properties" xmlns:vt="http://schemas.openxmlformats.org/officeDocument/2006/docPropsVTypes"/>
</file>