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2.png" ContentType="image/png"/>
  <Override PartName="/word/media/rId72.png" ContentType="image/png"/>
  <Override PartName="/word/media/rId78.png" ContentType="image/png"/>
  <Override PartName="/word/media/rId11.png" ContentType="image/png"/>
  <Override PartName="/word/media/rId27.png" ContentType="image/png"/>
  <Override PartName="/word/media/rId37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51f8c8de0db1615d28df3b040218752abd37cf0"/>
    <w:p>
      <w:pPr>
        <w:pStyle w:val="Heading1"/>
      </w:pPr>
      <w:r>
        <w:t xml:space="preserve">Семинар 3. Формирование требований при разработке ПО</w:t>
      </w:r>
    </w:p>
    <w:bookmarkStart w:id="59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Собрать исходные требования к аналитическому сервису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формализовать роли и цели заинтересованных сторон, описать предметную область и глоссарий, построить модели ключевого процесса в нотациях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TO-BE</w:t>
      </w:r>
      <w:r>
        <w:t xml:space="preserve">, зафиксировать границы системы через</w:t>
      </w:r>
      <w:r>
        <w:t xml:space="preserve"> </w:t>
      </w:r>
      <w:r>
        <w:rPr>
          <w:b/>
          <w:bCs/>
        </w:rPr>
        <w:t xml:space="preserve">контекстную диаграмму</w:t>
      </w:r>
      <w:r>
        <w:t xml:space="preserve"> </w:t>
      </w:r>
      <w:r>
        <w:t xml:space="preserve">и составить структурированный</w:t>
      </w:r>
      <w:r>
        <w:t xml:space="preserve"> </w:t>
      </w:r>
      <w:r>
        <w:rPr>
          <w:b/>
          <w:bCs/>
        </w:rPr>
        <w:t xml:space="preserve">каталог источников данных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clipboard-содержание-артефактов-семинара"/>
    <w:p>
      <w:pPr>
        <w:pStyle w:val="Heading2"/>
      </w:pPr>
      <w:r>
        <w:t xml:space="preserve">📋 Содержание артефактов семинара</w:t>
      </w:r>
    </w:p>
    <w:p>
      <w:pPr>
        <w:pStyle w:val="Compact"/>
        <w:numPr>
          <w:ilvl w:val="0"/>
          <w:numId w:val="1001"/>
        </w:numPr>
      </w:pPr>
      <w:hyperlink w:anchor="Xcadcc07d0b5b406fc3e3c9fa736ff3d992e2b96">
        <w:r>
          <w:rPr>
            <w:rStyle w:val="Hyperlink"/>
          </w:rPr>
          <w:t xml:space="preserve">Карта стейкхолдеров и их цели</w:t>
        </w:r>
      </w:hyperlink>
    </w:p>
    <w:p>
      <w:pPr>
        <w:pStyle w:val="Compact"/>
        <w:numPr>
          <w:ilvl w:val="0"/>
          <w:numId w:val="1001"/>
        </w:numPr>
      </w:pPr>
      <w:hyperlink w:anchor="X50dbfd4a8675c141f9891959bf8d7e4a49e0bc9">
        <w:r>
          <w:rPr>
            <w:rStyle w:val="Hyperlink"/>
          </w:rPr>
          <w:t xml:space="preserve">Предметная область и глоссарий</w:t>
        </w:r>
      </w:hyperlink>
    </w:p>
    <w:p>
      <w:pPr>
        <w:pStyle w:val="Compact"/>
        <w:numPr>
          <w:ilvl w:val="0"/>
          <w:numId w:val="1001"/>
        </w:numPr>
      </w:pPr>
      <w:hyperlink w:anchor="X4e10494ced32d33a13a5d7e255c59d919c21d43">
        <w:r>
          <w:rPr>
            <w:rStyle w:val="Hyperlink"/>
          </w:rPr>
          <w:t xml:space="preserve">Моделирование ключевого процесса: AS-IS и TO-BE</w:t>
        </w:r>
      </w:hyperlink>
    </w:p>
    <w:p>
      <w:pPr>
        <w:pStyle w:val="Compact"/>
        <w:numPr>
          <w:ilvl w:val="0"/>
          <w:numId w:val="1001"/>
        </w:numPr>
      </w:pPr>
      <w:hyperlink w:anchor="Xcbaa57fd74987dad7928e0ffedc75f0b14010ed">
        <w:r>
          <w:rPr>
            <w:rStyle w:val="Hyperlink"/>
          </w:rPr>
          <w:t xml:space="preserve">Границы системы и внешние взаимодействия</w:t>
        </w:r>
      </w:hyperlink>
    </w:p>
    <w:p>
      <w:pPr>
        <w:pStyle w:val="Compact"/>
        <w:numPr>
          <w:ilvl w:val="0"/>
          <w:numId w:val="1001"/>
        </w:numPr>
      </w:pPr>
      <w:hyperlink w:anchor="X80ef9a72bdf2664087043852d0d4d501bbc94b4">
        <w:r>
          <w:rPr>
            <w:rStyle w:val="Hyperlink"/>
          </w:rPr>
          <w:t xml:space="preserve">Каталог источников данных</w:t>
        </w:r>
      </w:hyperlink>
    </w:p>
    <w:p>
      <w:pPr>
        <w:pStyle w:val="Compact"/>
        <w:numPr>
          <w:ilvl w:val="0"/>
          <w:numId w:val="1001"/>
        </w:numPr>
      </w:pPr>
      <w:hyperlink w:anchor="Xf9c2623bee29476e8e18c83f71cb401190cc8b4">
        <w:r>
          <w:rPr>
            <w:rStyle w:val="Hyperlink"/>
          </w:rPr>
          <w:t xml:space="preserve">Бизнес-правила и системные ограничения</w:t>
        </w:r>
      </w:hyperlink>
    </w:p>
    <w:p>
      <w:pPr>
        <w:pStyle w:val="Compact"/>
        <w:numPr>
          <w:ilvl w:val="0"/>
          <w:numId w:val="1001"/>
        </w:numPr>
      </w:pPr>
      <w:hyperlink w:anchor="X9b23a788801d1950a50ec28b248b7127e67ed75">
        <w:r>
          <w:rPr>
            <w:rStyle w:val="Hyperlink"/>
          </w:rPr>
          <w:t xml:space="preserve">Контекстная диаграмма системы (C4 Context)</w:t>
        </w:r>
      </w:hyperlink>
    </w:p>
    <w:p>
      <w:r>
        <w:pict>
          <v:rect style="width:0;height:1.5pt" o:hralign="center" o:hrstd="t" o:hr="t"/>
        </w:pict>
      </w:r>
    </w:p>
    <w:bookmarkEnd w:id="60"/>
    <w:bookmarkStart w:id="66" w:name="Xcadcc07d0b5b406fc3e3c9fa736ff3d992e2b96"/>
    <w:p>
      <w:pPr>
        <w:pStyle w:val="Heading2"/>
      </w:pPr>
      <w:r>
        <w:t xml:space="preserve">1. Карта стейкхолдеров и их цели</w:t>
      </w:r>
    </w:p>
    <w:p>
      <w:pPr>
        <w:pStyle w:val="FirstParagraph"/>
      </w:pPr>
      <w:r>
        <w:t xml:space="preserve">В проекте выделены внутренние пользователи компании-клиента (инженерный и управленческий контур), внешние регулирующие роли, а также академический стейкхолдер дисциплины.</w:t>
      </w:r>
    </w:p>
    <w:bookmarkStart w:id="61" w:name="Xdc1c72ab115031ed4e5477bf408ed73ef9d6685"/>
    <w:p>
      <w:pPr>
        <w:pStyle w:val="Heading3"/>
      </w:pPr>
      <w:r>
        <w:t xml:space="preserve">1.1. Матрица заинтересованных сторон (Роли, интересы, влияние)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1060"/>
        <w:gridCol w:w="1552"/>
        <w:gridCol w:w="509"/>
        <w:gridCol w:w="678"/>
        <w:gridCol w:w="1531"/>
        <w:gridCol w:w="14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 / 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интересы и боли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 на проект (Power)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Интерес к результату (Interest)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Ожидания от EcoGrid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успеха (Success Metrics)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DataOps /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пользователь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десятков тяжелых ETL/ELT-пайплайнов (Spark, dbt); риск срыва утреннего дедлайна (SLA витрин DWH).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Простой REST API (</w:t>
            </w:r>
            <w:r>
              <w:rPr>
                <w:rStyle w:val="VerbatimChar"/>
                <w:sz w:val="17"/>
                <w:szCs w:val="17"/>
              </w:rPr>
              <w:t xml:space="preserve">/recommendations</w:t>
            </w:r>
            <w:r>
              <w:t xml:space="preserve">) для оркестратора (Airflow); 100% гарантия завершения до дедлайна.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сорванных SLA; задержка API &lt; 200 мс; прозрачная интеграция через Airflow.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FinOps-менеджер / CFO /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заказчик (Бизнес)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Неконтролируемый рост счетов за электроэнергию серверов и облака; отсутствие прозрачной аналитики расходов.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Наглядный Web-дашборд со сводкой сэкономленных бюджетов в сравнении со статическим расписанием (cron).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 на электроэнергии, подтвержденная бэктестом на реальных ценах (семинар 5, цель GOAL-2); детальный финансовый аудит.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Преподаватель дисциплины (Хасанов И. И.)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Академический 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соответствия проекта профилю «Инженерия данных» и стандартам программной инженерии.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четких требований, валидации данных, партиционированной БД, соблюдения Agile/Kanban процессов.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требований семинаров, обоснованность архитектуры, готовность MVP Release 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информационной безопасности (ИБ / InfoSec)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утечки конфиденциальной топологии сети и метаданных во внешний интернет; комплаенс On-Premise.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сетевая изоляция в контуре VPC; отсутствие исходящих запросов с внутренними данными клиентов.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замечаний службы безопасности; zero outbound data leaks; аудит Docker-окружения.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/ 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 и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хостов и серверов; недопустимость перегрузки серверного оборудования и скачков напряжения.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Поставка в виде автономного Docker Compose; работа без передачи внутренних логов наружу (On-Premise).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внутренней инфраструктуры; стабильность контейнеров; предсказуемое потребление ресурсов.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MLOps /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пользователь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стоимость обучения LLM / CV-моделей на GPU; необходимость гибкого переноса нагрузки между доступными ЦОД.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не только времени, но и локации (Geo-Arbitrage) с оценкой экономии перед стартом.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стоимости обучения в каждом доступном ЦОД до запуска; наглядный симулятор в Web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ESG-директор / Sustainability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европейского и корпоративного ESG-аудита (Scope 2 Emissions, углеродный след вычислений).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выгрузка отчетов о сокращении выбросов CO₂ за счет сдвига задач в часы зеленой генерации.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Достоверная оценка граммов CO₂/кВт⋅ч на задачу; соответствие ESG-отчетности.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Junior Data / ML-инженеры (Стажеры)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ожидание завершения ресурсоемких экспериментов и обучающих запусков без влияния на инфраструктуру.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интерфейс симулятора для оценки затрат на экспериментальные прогоны задач.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Понятные подсказки в веб-симуляторе; ускорение валидации гипотез.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Конечные бизнес-пользователи BI-отчетов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Косвенные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Своевременность готовности ежедневных аналитических отчетов и витрин к началу рабочего дня (09:00).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Гарантированное завершение расчетов до дедлайна; расписание фоновых оптимизаций не должно ломать дашборды.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отчетов готовы вовремя; отсутствие простоев бизнеса.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Дежурная служба техподдержки L1 / 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Эксплуатационное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Наплыв ночных инцидентов и ложных алертов при нестандартном сдвиге времени старта вычислительных задач.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Прозрачное логирование причин переноса времени старта задачи в Airflow; отсутствие ложных алертов.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Готовый runbook с регламентом работы оптимизатора; отсутствие лишних ночных вызовов дежурных инженеров.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20" w:footer="720" w:gutter="0"/>
        </w:sectPr>
      </w:pPr>
    </w:p>
    <w:p>
      <w:r>
        <w:pict>
          <v:rect style="width:0;height:1.5pt" o:hralign="center" o:hrstd="t" o:hr="t"/>
        </w:pict>
      </w:r>
    </w:p>
    <w:bookmarkEnd w:id="61"/>
    <w:bookmarkStart w:id="65" w:name="X203467ac13fdc7eab0795d55bd3f19c31e1f9de"/>
    <w:p>
      <w:pPr>
        <w:pStyle w:val="Heading3"/>
      </w:pPr>
      <w:r>
        <w:t xml:space="preserve">1.2. Карта стейкхолдеров (Power / Interest Grid)</w:t>
      </w:r>
    </w:p>
    <w:p>
      <w:pPr>
        <w:pStyle w:val="CaptionedFigure"/>
      </w:pPr>
      <w:r>
        <w:drawing>
          <wp:inline>
            <wp:extent cx="5334000" cy="4150178"/>
            <wp:effectExtent b="0" l="0" r="0" t="0"/>
            <wp:docPr descr="Рисунок 1. Карта стейкхолдеров (Power / Interest Grid)" title="" id="63" name="Picture"/>
            <a:graphic>
              <a:graphicData uri="http://schemas.openxmlformats.org/drawingml/2006/picture">
                <pic:pic>
                  <pic:nvPicPr>
                    <pic:cNvPr descr="media/figure_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Карта стейкхолдеров (Power / Interest Grid)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50dbfd4a8675c141f9891959bf8d7e4a49e0bc9"/>
    <w:p>
      <w:pPr>
        <w:pStyle w:val="Heading2"/>
      </w:pPr>
      <w:r>
        <w:t xml:space="preserve">2. Предметная область и глоссарий</w:t>
      </w:r>
    </w:p>
    <w:p>
      <w:pPr>
        <w:pStyle w:val="FirstParagraph"/>
      </w:pPr>
      <w:r>
        <w:t xml:space="preserve">Предметная область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находится на стыке оптовых рынков электроэнергии, физики охлаждения дата-центров и диспетчеризации пакетных вычислений.</w:t>
      </w:r>
    </w:p>
    <w:bookmarkStart w:id="67" w:name="X9d10ab9c32ecc841872b514946757c5fdbf59c6"/>
    <w:p>
      <w:pPr>
        <w:pStyle w:val="Heading3"/>
      </w:pPr>
      <w:r>
        <w:t xml:space="preserve">2.1. Рынок электроэнергии (Energy Market)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Day-Ahead Market (Рынок на сутки вперед):</w:t>
      </w:r>
      <w:r>
        <w:t xml:space="preserve"> </w:t>
      </w:r>
      <w:r>
        <w:t xml:space="preserve">Оптовый рынок электроэнергии, торги на котором закрываются в 12:00–13:00 CET за день до фактической поставки. На каждый час следующих суток формируется фиксированная спотовая цена.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Спотовая цена (Spot Price, EUR/MWh):</w:t>
      </w:r>
      <w:r>
        <w:t xml:space="preserve"> </w:t>
      </w:r>
      <w:r>
        <w:t xml:space="preserve">Рыночная цена одного мегаватт-часа электроэнергии в конкретной ценовой зоне на определенный временной интервал.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Отрицательные цены (Negative Pricing):</w:t>
      </w:r>
      <w:r>
        <w:t xml:space="preserve"> </w:t>
      </w:r>
      <w:r>
        <w:t xml:space="preserve">Рыночная аномалия, возникающая при избыточной выработке солнечной и ветровой энергии (ВИЭ) в сочетании с низким потреблением. В эти часы производители электроэнергии доплачивают потребителям за утилизацию избытка мощности.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Ценовая зона (Bidding Zone):</w:t>
      </w:r>
      <w:r>
        <w:t xml:space="preserve"> </w:t>
      </w:r>
      <w:r>
        <w:t xml:space="preserve">Географическая зона энергосистемы с единой оптовой ценой на электроэнергию (например,</w:t>
      </w:r>
      <w:r>
        <w:t xml:space="preserve"> </w:t>
      </w:r>
      <w:r>
        <w:rPr>
          <w:rStyle w:val="VerbatimChar"/>
        </w:rPr>
        <w:t xml:space="preserve">DE-LU</w:t>
      </w:r>
      <w:r>
        <w:t xml:space="preserve"> </w:t>
      </w:r>
      <w:r>
        <w:t xml:space="preserve">— Германия/Люксембург,</w:t>
      </w:r>
      <w:r>
        <w:t xml:space="preserve"> </w:t>
      </w:r>
      <w:r>
        <w:rPr>
          <w:rStyle w:val="VerbatimChar"/>
        </w:rPr>
        <w:t xml:space="preserve">FI</w:t>
      </w:r>
      <w:r>
        <w:t xml:space="preserve"> </w:t>
      </w:r>
      <w:r>
        <w:t xml:space="preserve">— Финляндия,</w:t>
      </w:r>
      <w:r>
        <w:t xml:space="preserve"> </w:t>
      </w:r>
      <w:r>
        <w:rPr>
          <w:rStyle w:val="VerbatimChar"/>
        </w:rPr>
        <w:t xml:space="preserve">SE3</w:t>
      </w:r>
      <w:r>
        <w:t xml:space="preserve"> </w:t>
      </w:r>
      <w:r>
        <w:t xml:space="preserve">— Швеция Стокгольм).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ENTSO-E (European Network of Transmission System Operators for Electricity):</w:t>
      </w:r>
      <w:r>
        <w:t xml:space="preserve"> </w:t>
      </w:r>
      <w:r>
        <w:t xml:space="preserve">Европейская сеть системных операторов передачи электроэнергии. Предоставляет единую платформу прозрачности (</w:t>
      </w:r>
      <w:r>
        <w:rPr>
          <w:i/>
          <w:iCs/>
        </w:rPr>
        <w:t xml:space="preserve">ENTSO-E Transparency Platform</w:t>
      </w:r>
      <w:r>
        <w:t xml:space="preserve">) с открытыми API котировок и структуры генерации.</w:t>
      </w:r>
    </w:p>
    <w:bookmarkEnd w:id="67"/>
    <w:bookmarkStart w:id="68" w:name="X547e89ef34ebcf9757680adce6b90db4a45e000"/>
    <w:p>
      <w:pPr>
        <w:pStyle w:val="Heading3"/>
      </w:pPr>
      <w:r>
        <w:t xml:space="preserve">2.2. Физика и инфраструктура ЦОД (Datacenter &amp; Energy Efficiency)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Дата-центр (ЦОД):</w:t>
      </w:r>
      <w:r>
        <w:t xml:space="preserve"> </w:t>
      </w:r>
      <w:r>
        <w:t xml:space="preserve">Серверная площадка с вычислительным оборудованием клиента. В контексте системы ЦОД характеризуется географическими координатами, доступной мощностью (кВт) и климатическим профилем.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 (Power Usage Effectiveness):</w:t>
      </w:r>
      <w:r>
        <w:t xml:space="preserve"> </w:t>
      </w:r>
      <w:r>
        <w:t xml:space="preserve">Коэффициент энергоэффективности дата-центра:</w:t>
      </w:r>
      <w:r>
        <w:br/>
      </w:r>
      <w:r>
        <w:rPr>
          <w:rStyle w:val="VerbatimChar"/>
        </w:rPr>
        <w:t xml:space="preserve">PUE = E_total / E_IT ≥ 1.0</w:t>
      </w:r>
      <w:r>
        <w:br/>
      </w:r>
      <w:r>
        <w:t xml:space="preserve">где</w:t>
      </w:r>
      <w:r>
        <w:t xml:space="preserve"> </w:t>
      </w:r>
      <w:r>
        <w:rPr>
          <w:rStyle w:val="VerbatimChar"/>
        </w:rPr>
        <w:t xml:space="preserve">E_total</w:t>
      </w:r>
      <w:r>
        <w:t xml:space="preserve"> </w:t>
      </w:r>
      <w:r>
        <w:t xml:space="preserve">— общая потребляемая энергия дата-центра,</w:t>
      </w:r>
      <w:r>
        <w:t xml:space="preserve"> </w:t>
      </w:r>
      <w:r>
        <w:rPr>
          <w:rStyle w:val="VerbatimChar"/>
        </w:rPr>
        <w:t xml:space="preserve">E_IT</w:t>
      </w:r>
      <w:r>
        <w:t xml:space="preserve"> </w:t>
      </w:r>
      <w:r>
        <w:t xml:space="preserve">— энергия, потребленная вычислительным IT-оборудованием.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Динамический PUE (Dynamic PUE):</w:t>
      </w:r>
      <w:r>
        <w:t xml:space="preserve"> </w:t>
      </w:r>
      <w:r>
        <w:t xml:space="preserve">Модель коэффициента энергоэффективности, зависящая от температуры окружающей среды: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Free Cooling (Фрикулинг):</w:t>
      </w:r>
      <w:r>
        <w:t xml:space="preserve"> </w:t>
      </w:r>
      <w:r>
        <w:t xml:space="preserve">При уличной температуре T ≤ 15°C серверы охлаждаются забортным воздухом. PUE равен базовому значению площадки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 </w:t>
      </w:r>
      <w:r>
        <w:t xml:space="preserve">(≈ 1.12 – 1.18).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Mechanical Chiller (Чиллерное охлаждение):</w:t>
      </w:r>
      <w:r>
        <w:t xml:space="preserve"> </w:t>
      </w:r>
      <w:r>
        <w:t xml:space="preserve">При T &gt; 15°C растет доля работы холодильных компрессоров, и PUE увеличивается на 0.015 за каждый градус:</w:t>
      </w:r>
      <w:r>
        <w:t xml:space="preserve"> </w:t>
      </w:r>
      <w:r>
        <w:rPr>
          <w:rStyle w:val="VerbatimChar"/>
        </w:rPr>
        <w:t xml:space="preserve">PUE(T) = base_pue + 0.015 × (T − 15)</w:t>
      </w:r>
      <w:r>
        <w:t xml:space="preserve"> </w:t>
      </w:r>
      <w:r>
        <w:t xml:space="preserve">(модель</w:t>
      </w:r>
      <w:r>
        <w:t xml:space="preserve"> </w:t>
      </w:r>
      <w:r>
        <w:rPr>
          <w:rStyle w:val="VerbatimChar"/>
        </w:rPr>
        <w:t xml:space="preserve">FR-ENG-01</w:t>
      </w:r>
      <w:r>
        <w:t xml:space="preserve">, семинар 4). Например, при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 </w:t>
      </w:r>
      <w:r>
        <w:t xml:space="preserve">= 1.15 и T = 30°C PUE ≈ 1.38, то есть площадка потребляет примерно на 20% больше энергии, чем при фрикулинге.</w:t>
      </w:r>
    </w:p>
    <w:bookmarkEnd w:id="68"/>
    <w:bookmarkStart w:id="69" w:name="X5da0bc5da0d3b4a98143a7fa3a1299859e66706"/>
    <w:p>
      <w:pPr>
        <w:pStyle w:val="Heading3"/>
      </w:pPr>
      <w:r>
        <w:t xml:space="preserve">2.3. Вычислительная нагрузка и оптимизация (Workload &amp; Optimization)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Batch-вычисления (Пакетная задача):</w:t>
      </w:r>
      <w:r>
        <w:t xml:space="preserve"> </w:t>
      </w:r>
      <w:r>
        <w:t xml:space="preserve">Длительная серверная задача (обучение нейросети, построение витрин dbt, бэкап, рендеринг), не требующая мгновенного синхронного ответа пользователю и допускающая сдвиг времени старта при условии завершения к дедлайну.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Non-preemptive задача:</w:t>
      </w:r>
      <w:r>
        <w:t xml:space="preserve"> </w:t>
      </w:r>
      <w:r>
        <w:t xml:space="preserve">Неделимая вычислительная задача, которая после старта должна выполняться непрерывно N часов без пауз и перезапусков.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SLA Дедлайн (Deadline):</w:t>
      </w:r>
      <w:r>
        <w:t xml:space="preserve"> </w:t>
      </w:r>
      <w:r>
        <w:t xml:space="preserve">Предельное время в UTC, до наступления которого задача обязана быть гарантированно завершена.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Geo-Arbitrage (Пространственно-временной арбитраж):</w:t>
      </w:r>
      <w:r>
        <w:t xml:space="preserve"> </w:t>
      </w:r>
      <w:r>
        <w:t xml:space="preserve">Алгоритмический выбор наилучшей комбинации</w:t>
      </w:r>
      <w:r>
        <w:t xml:space="preserve"> </w:t>
      </w:r>
      <w:r>
        <w:rPr>
          <w:b/>
          <w:bCs/>
        </w:rPr>
        <w:t xml:space="preserve">«Временной слот запуска + Локация дата-центра»</w:t>
      </w:r>
      <w:r>
        <w:t xml:space="preserve"> </w:t>
      </w:r>
      <w:r>
        <w:t xml:space="preserve">для минимизации совокупных расходов на электроэнергию и охлаждение.</w:t>
      </w:r>
    </w:p>
    <w:bookmarkEnd w:id="69"/>
    <w:bookmarkStart w:id="70" w:name="X984f14405d223c29a2410693e91dd2ff2bae761"/>
    <w:p>
      <w:pPr>
        <w:pStyle w:val="Heading3"/>
      </w:pPr>
      <w:r>
        <w:t xml:space="preserve">2.4. Архитектурный периметр (Architecture &amp; Security)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On-Premise контур (VPC):</w:t>
      </w:r>
      <w:r>
        <w:t xml:space="preserve"> </w:t>
      </w:r>
      <w:r>
        <w:t xml:space="preserve">Развертывание системы в изолированной корпоративной сети клиента. Гарантирует, что данные об оборудовании, проектах и серверных логах не передаются третьим сторонам.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4" w:name="X4e10494ced32d33a13a5d7e255c59d919c21d43"/>
    <w:p>
      <w:pPr>
        <w:pStyle w:val="Heading2"/>
      </w:pPr>
      <w:r>
        <w:t xml:space="preserve">3. Моделирование ключевого процесса: AS-IS и TO-BE</w:t>
      </w:r>
    </w:p>
    <w:p>
      <w:pPr>
        <w:pStyle w:val="FirstParagraph"/>
      </w:pPr>
      <w:r>
        <w:t xml:space="preserve">Ключевой сквозной процесс:</w:t>
      </w:r>
      <w:r>
        <w:t xml:space="preserve"> </w:t>
      </w:r>
      <w:r>
        <w:rPr>
          <w:b/>
          <w:bCs/>
        </w:rPr>
        <w:t xml:space="preserve">«Планирование, диспетчеризация и запуск ресурсоемких пакетных вычислений (Data/ML pipelines)»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7" w:name="X69febe85e7330828beaff19ec9a45010320853e"/>
    <w:p>
      <w:pPr>
        <w:pStyle w:val="Heading3"/>
      </w:pPr>
      <w:r>
        <w:t xml:space="preserve">3.1. Процесс AS-IS («Как есть»)</w:t>
      </w:r>
    </w:p>
    <w:bookmarkStart w:id="75" w:name="описание-текущего-состояния"/>
    <w:p>
      <w:pPr>
        <w:pStyle w:val="Heading4"/>
      </w:pPr>
      <w:r>
        <w:t xml:space="preserve">Описание текущего состояния:</w:t>
      </w:r>
    </w:p>
    <w:p>
      <w:pPr>
        <w:pStyle w:val="Compact"/>
        <w:numPr>
          <w:ilvl w:val="0"/>
          <w:numId w:val="1007"/>
        </w:numPr>
      </w:pPr>
      <w:r>
        <w:t xml:space="preserve">Инженер разрабатывает тяжелый пайплайн (Spark/dbt/PyTorch).</w:t>
      </w:r>
    </w:p>
    <w:p>
      <w:pPr>
        <w:pStyle w:val="Compact"/>
        <w:numPr>
          <w:ilvl w:val="0"/>
          <w:numId w:val="1007"/>
        </w:numPr>
      </w:pPr>
      <w:r>
        <w:t xml:space="preserve">Расписание жестко фиксируется в планировщике (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или DAG в Airflow) на статическое «типичное ночное время» (например, 02:00 UTC).</w:t>
      </w:r>
    </w:p>
    <w:p>
      <w:pPr>
        <w:pStyle w:val="Compact"/>
        <w:numPr>
          <w:ilvl w:val="0"/>
          <w:numId w:val="1007"/>
        </w:numPr>
      </w:pPr>
      <w:r>
        <w:t xml:space="preserve">Площадка исполнения жестко захардкожена на «домашний» сервер/кластер (например, Франкфурт).</w:t>
      </w:r>
    </w:p>
    <w:p>
      <w:pPr>
        <w:pStyle w:val="Compact"/>
        <w:numPr>
          <w:ilvl w:val="0"/>
          <w:numId w:val="1007"/>
        </w:numPr>
      </w:pPr>
      <w:r>
        <w:t xml:space="preserve">Запуск происходит «вслепую» — без учета текущей биржевой ситуации и температуры.</w:t>
      </w:r>
    </w:p>
    <w:p>
      <w:pPr>
        <w:pStyle w:val="Compact"/>
        <w:numPr>
          <w:ilvl w:val="0"/>
          <w:numId w:val="1007"/>
        </w:numPr>
      </w:pPr>
      <w:r>
        <w:t xml:space="preserve">Ночью из-за внезапного штиля в Северном море биржевой тариф взлетает до 180 €/МВт⋅ч (включаются пиковые газовые станции).</w:t>
      </w:r>
    </w:p>
    <w:p>
      <w:pPr>
        <w:pStyle w:val="Compact"/>
        <w:numPr>
          <w:ilvl w:val="0"/>
          <w:numId w:val="1007"/>
        </w:numPr>
      </w:pPr>
      <w:r>
        <w:t xml:space="preserve">В конце расчетного месяца CFO получает счет за электроэнергию и фиксирует огромный перерасход OPEX без возможности понять, какие задачи стали причиной переплаты.</w:t>
      </w:r>
    </w:p>
    <w:p>
      <w:pPr>
        <w:pStyle w:val="CaptionedFigure"/>
      </w:pPr>
      <w:r>
        <w:drawing>
          <wp:inline>
            <wp:extent cx="5334000" cy="1469571"/>
            <wp:effectExtent b="0" l="0" r="0" t="0"/>
            <wp:docPr descr="Рисунок 2. Процесс AS-IS («Как есть»): диаграмма последовательности" title="" id="73" name="Picture"/>
            <a:graphic>
              <a:graphicData uri="http://schemas.openxmlformats.org/drawingml/2006/picture">
                <pic:pic>
                  <pic:nvPicPr>
                    <pic:cNvPr descr="media/figure_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Процесс AS-IS («Как есть»): диаграмма последовательности</w:t>
      </w:r>
    </w:p>
    <w:bookmarkEnd w:id="75"/>
    <w:bookmarkStart w:id="76" w:name="X4c3b5438a59b823f60cd801414012da3c22a80a"/>
    <w:p>
      <w:pPr>
        <w:pStyle w:val="Heading4"/>
      </w:pPr>
      <w:r>
        <w:t xml:space="preserve">Ключевые проблемы и узкие места процесса AS-IS: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Слепой запуск:</w:t>
      </w:r>
      <w:r>
        <w:t xml:space="preserve"> </w:t>
      </w:r>
      <w:r>
        <w:t xml:space="preserve">Планировщик не имеет данных о биржевых тарифах и прогнозах погоды.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Привязка к одной локации:</w:t>
      </w:r>
      <w:r>
        <w:t xml:space="preserve"> </w:t>
      </w:r>
      <w:r>
        <w:t xml:space="preserve">Полное отсутствие географического маневра между филиалами и доступными ЦОД.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Пиковые тарифные ловушки:</w:t>
      </w:r>
      <w:r>
        <w:t xml:space="preserve"> </w:t>
      </w:r>
      <w:r>
        <w:t xml:space="preserve">Высокие ночные цены при безветрии приводят к переплате до 3–4 раз.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Ущерб экологии:</w:t>
      </w:r>
      <w:r>
        <w:t xml:space="preserve"> </w:t>
      </w:r>
      <w:r>
        <w:t xml:space="preserve">Задачи часто запускаются в часы с преобладанием угольно-газовой генерации.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5bfdde106fa9f1e8d05caa54223f25e4c2a6b58"/>
    <w:p>
      <w:pPr>
        <w:pStyle w:val="Heading3"/>
      </w:pPr>
      <w:r>
        <w:t xml:space="preserve">3.2. Процесс TO-BE («Как будет» после внедрения EcoGrid Flow)</w:t>
      </w:r>
    </w:p>
    <w:bookmarkStart w:id="81" w:name="описание-целевого-состояния"/>
    <w:p>
      <w:pPr>
        <w:pStyle w:val="Heading4"/>
      </w:pPr>
      <w:r>
        <w:t xml:space="preserve">Описание целевого состояния:</w:t>
      </w:r>
    </w:p>
    <w:p>
      <w:pPr>
        <w:pStyle w:val="Compact"/>
        <w:numPr>
          <w:ilvl w:val="0"/>
          <w:numId w:val="1009"/>
        </w:numPr>
      </w:pPr>
      <w:r>
        <w:t xml:space="preserve">Фоновый ETL-сервис EcoGrid Flow непрерывно собирает и валидирует Day-Ahead цены ENTSO-E и метеопрогнозы Open-Meteo.</w:t>
      </w:r>
    </w:p>
    <w:p>
      <w:pPr>
        <w:pStyle w:val="Compact"/>
        <w:numPr>
          <w:ilvl w:val="0"/>
          <w:numId w:val="1009"/>
        </w:numPr>
      </w:pPr>
      <w:r>
        <w:t xml:space="preserve">При наступлении готовности пайплайна оркестратор Airflow отправляет в EcoGrid Flow API запрос с метаданными: длительность, мощность, крайний дедлайн (SLA) и список разрешенных ЦОД.</w:t>
      </w:r>
    </w:p>
    <w:p>
      <w:pPr>
        <w:pStyle w:val="Compact"/>
        <w:numPr>
          <w:ilvl w:val="0"/>
          <w:numId w:val="1009"/>
        </w:numPr>
      </w:pPr>
      <w:r>
        <w:t xml:space="preserve">Оптимизационный движок рассчитывает динамический PUE для каждого ЦОД, сопоставляет часовые тарифы скользящим окном и находит глобальный минимум затрат с гарантией соблюдения дедлайна.</w:t>
      </w:r>
    </w:p>
    <w:p>
      <w:pPr>
        <w:pStyle w:val="Compact"/>
        <w:numPr>
          <w:ilvl w:val="0"/>
          <w:numId w:val="1009"/>
        </w:numPr>
      </w:pPr>
      <w:r>
        <w:t xml:space="preserve">Сервис возвращает рекомендацию: запустить задачу в 23:00 в ЦОД Хельсинки (цена 24 €/МВт⋅ч, Free Cooling PUE = 1.15, прогнозируемая экономия 62%).</w:t>
      </w:r>
      <w:r>
        <w:t xml:space="preserve"> </w:t>
      </w:r>
      <w:r>
        <w:rPr>
          <w:i/>
          <w:iCs/>
        </w:rPr>
        <w:t xml:space="preserve">Цифры в сценарии условные и приведены для иллюстрации.</w:t>
      </w:r>
    </w:p>
    <w:p>
      <w:pPr>
        <w:pStyle w:val="Compact"/>
        <w:numPr>
          <w:ilvl w:val="0"/>
          <w:numId w:val="1009"/>
        </w:numPr>
      </w:pPr>
      <w:r>
        <w:t xml:space="preserve">Airflow откладывает запуск до 23:00 и направляет задачу на вычислительный узел в Хельсинки.</w:t>
      </w:r>
    </w:p>
    <w:p>
      <w:pPr>
        <w:pStyle w:val="Compact"/>
        <w:numPr>
          <w:ilvl w:val="0"/>
          <w:numId w:val="1009"/>
        </w:numPr>
      </w:pPr>
      <w:r>
        <w:t xml:space="preserve">Факт выполнения и параметры экономии автоматически логируются в изолированной PostgreSQL.</w:t>
      </w:r>
    </w:p>
    <w:p>
      <w:pPr>
        <w:pStyle w:val="Compact"/>
        <w:numPr>
          <w:ilvl w:val="0"/>
          <w:numId w:val="1009"/>
        </w:numPr>
      </w:pPr>
      <w:r>
        <w:t xml:space="preserve">FinOps-менеджер в реальном времени видит сэкономленный бюджет и сокращение углеродного следа на дашборде.</w:t>
      </w:r>
    </w:p>
    <w:p>
      <w:pPr>
        <w:pStyle w:val="CaptionedFigure"/>
      </w:pPr>
      <w:r>
        <w:drawing>
          <wp:inline>
            <wp:extent cx="5334000" cy="2251982"/>
            <wp:effectExtent b="0" l="0" r="0" t="0"/>
            <wp:docPr descr="Рисунок 3. Процесс TO-BE («Как будет» после внедрения EcoGrid Flow): диаграмма последовательности" title="" id="79" name="Picture"/>
            <a:graphic>
              <a:graphicData uri="http://schemas.openxmlformats.org/drawingml/2006/picture">
                <pic:pic>
                  <pic:nvPicPr>
                    <pic:cNvPr descr="media/figure_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Процесс TO-BE («Как будет» после внедрения EcoGrid Flow): диаграмма последовательности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dc37959304e8d733a8e053f351b33950d25839e"/>
    <w:p>
      <w:pPr>
        <w:pStyle w:val="Heading3"/>
      </w:pPr>
      <w:r>
        <w:t xml:space="preserve">3.3. Содержательное сравнение процессов AS-IS и TO-BE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2"/>
        <w:gridCol w:w="1748"/>
        <w:gridCol w:w="2301"/>
        <w:gridCol w:w="25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 сравнения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TO-BE (EcoGrid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для бизнеса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Принцип выбора времени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cron</w:t>
            </w:r>
            <w:r>
              <w:t xml:space="preserve"> </w:t>
            </w:r>
            <w:r>
              <w:t xml:space="preserve">(жестко заданный час, «вслепую»).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поиск окна минимальной совокупной цены под SLA дедлайн.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Исключение попадания в часы пиковых биржевых тарифов.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Выбор площадки (ЦОД)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Захардкоженная домашняя локация (без маневра).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Алгоритмический пространственный арбитраж (</w:t>
            </w:r>
            <w:r>
              <w:rPr>
                <w:b/>
                <w:bCs/>
              </w:rPr>
              <w:t xml:space="preserve">Geo-Arbitrage</w:t>
            </w:r>
            <w:r>
              <w:t xml:space="preserve">) между доступными ЦОД.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стоимости МВт⋅ч за счет разницы тарифов между энергозонами; величина эффекта оценивается бэктестом (семинар 5, GOAL-2).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Учет физики охлаждения (PUE)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Игнорируется (принимается как константа).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расчет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PUE(T_street)</w:t>
            </w:r>
            <w:r>
              <w:t xml:space="preserve"> </w:t>
            </w:r>
            <w:r>
              <w:t xml:space="preserve">на базе прогноза температуры около ЦОД.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энергопотребления площадки за счет часов и площадок с фрикулингом: по модели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FR-ENG-01</w:t>
            </w:r>
            <w:r>
              <w:t xml:space="preserve"> </w:t>
            </w:r>
            <w:r>
              <w:t xml:space="preserve">до ~20% при 30°C относительно T ≤ 15°C.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Гарантия дедлайна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контролируется относительно внешних факторов.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Жесткое ограничение алгоритма: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t_start + t_duration ≤ deadline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Исключение срыва утренних бизнес-отчетов и расписаний.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Прозрачность затрат (FinOps)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Постфактум в общем счете раз в месяц без детализации.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Прозрачный расчет стоимости каждой задачи и подтвержденная экономия в Web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Точный биллинг команд и обоснование ROI перед руководством.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Углеродный след (ESG)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Случайный, часто в часы грязной генерации.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Смещение задач в часы профицита солнечной и ветровой энергии (ВИЭ).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корпоративных выбросов CO₂ (Scope 2); величина оценивается по данным генерации (</w:t>
            </w:r>
            <w:r>
              <w:rPr>
                <w:rStyle w:val="VerbatimChar"/>
                <w:sz w:val="17"/>
                <w:szCs w:val="17"/>
              </w:rPr>
              <w:t xml:space="preserve">DR-02</w:t>
            </w:r>
            <w:r>
              <w:t xml:space="preserve">) в Release 1.0.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7" w:name="Xcbaa57fd74987dad7928e0ffedc75f0b14010ed"/>
    <w:p>
      <w:pPr>
        <w:pStyle w:val="Heading2"/>
      </w:pPr>
      <w:r>
        <w:t xml:space="preserve">4. Границы системы и внешние взаимодействия</w:t>
      </w:r>
    </w:p>
    <w:p>
      <w:pPr>
        <w:pStyle w:val="FirstParagraph"/>
      </w:pPr>
      <w:r>
        <w:t xml:space="preserve">Концепция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базируется на принципе изолированного развертывания (</w:t>
      </w:r>
      <w:r>
        <w:rPr>
          <w:b/>
          <w:bCs/>
        </w:rPr>
        <w:t xml:space="preserve">On-Premise / Private VPC</w:t>
      </w:r>
      <w:r>
        <w:t xml:space="preserve">). Система четко разделяет внутренний контур компании и внешний интернет.</w:t>
      </w:r>
    </w:p>
    <w:p>
      <w:pPr>
        <w:pStyle w:val="SourceCode"/>
      </w:pPr>
      <w:r>
        <w:rPr>
          <w:rStyle w:val="VerbatimChar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sz w:val="16"/>
          <w:szCs w:val="16"/>
        </w:rPr>
        <w:t xml:space="preserve">│ ВНЕШНИЙ ИНТЕРНЕТ (Публичные открытые сервисы)                                          │</w:t>
      </w:r>
      <w:r>
        <w:br/>
      </w:r>
      <w:r>
        <w:rPr>
          <w:rStyle w:val="VerbatimChar"/>
          <w:sz w:val="16"/>
          <w:szCs w:val="16"/>
        </w:rPr>
        <w:t xml:space="preserve">│  [ENTSO-E Transparency Platform API]            [Open-Meteo Weather API]                │</w:t>
      </w:r>
      <w:r>
        <w:br/>
      </w:r>
      <w:r>
        <w:rPr>
          <w:rStyle w:val="VerbatimChar"/>
          <w:sz w:val="16"/>
          <w:szCs w:val="16"/>
        </w:rPr>
        <w:t xml:space="preserve">└─────────────────────────────────┬──────────────────────────────────┬───────────────────┘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  <w:sz w:val="16"/>
          <w:szCs w:val="16"/>
        </w:rPr>
        <w:t xml:space="preserve">                                  │ HTTPS (XML)                      │ HTTPS (JSON)</w:t>
      </w:r>
      <w:r>
        <w:br/>
      </w:r>
      <w:r>
        <w:rPr>
          <w:rStyle w:val="VerbatimChar"/>
          <w:sz w:val="16"/>
          <w:szCs w:val="16"/>
        </w:rPr>
        <w:t xml:space="preserve">                                  ▼                                  ▼</w:t>
      </w:r>
      <w:r>
        <w:br/>
      </w:r>
      <w:r>
        <w:rPr>
          <w:rStyle w:val="VerbatimChar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sz w:val="16"/>
          <w:szCs w:val="16"/>
        </w:rPr>
        <w:t xml:space="preserve">│ КОРПОРАТИВНЫЙ ON-PREMISE КОНТУР КОМПАНИИ (VPC)                                         │</w:t>
      </w:r>
      <w:r>
        <w:br/>
      </w:r>
      <w:r>
        <w:rPr>
          <w:rStyle w:val="VerbatimChar"/>
          <w:sz w:val="16"/>
          <w:szCs w:val="16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  <w:sz w:val="16"/>
          <w:szCs w:val="16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  <w:sz w:val="16"/>
          <w:szCs w:val="16"/>
        </w:rPr>
        <w:t xml:space="preserve">│   │ ГРАНИЦА СИСТЕМЫ ECOGRID FLOW (Docker Compose)     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                                                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[Ingestion Layer] ──► [Data Quality Gate] ──► [PostgreSQL Timeseries]        │   │</w:t>
      </w:r>
      <w:r>
        <w:br/>
      </w:r>
      <w:r>
        <w:rPr>
          <w:rStyle w:val="VerbatimChar"/>
          <w:sz w:val="16"/>
          <w:szCs w:val="16"/>
        </w:rPr>
        <w:t xml:space="preserve">│   │   (ETL-воркеры)         (валидация пропусков)    (market &amp; weather data)       │   │</w:t>
      </w:r>
      <w:r>
        <w:br/>
      </w:r>
      <w:r>
        <w:rPr>
          <w:rStyle w:val="VerbatimChar"/>
          <w:sz w:val="16"/>
          <w:szCs w:val="16"/>
        </w:rPr>
        <w:t xml:space="preserve">│   │                                                          ▲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                                                       │ SQL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                                                       ▼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[FastAPI Gateway] ◄─────────────────────────► [Optimization Engine]          │   │</w:t>
      </w:r>
      <w:r>
        <w:br/>
      </w:r>
      <w:r>
        <w:rPr>
          <w:rStyle w:val="VerbatimChar"/>
          <w:sz w:val="16"/>
          <w:szCs w:val="16"/>
        </w:rPr>
        <w:t xml:space="preserve">│   │   (/recommendations)                            (Dynamic PUE + Geo-Arbitrage)  │   │</w:t>
      </w:r>
      <w:r>
        <w:br/>
      </w:r>
      <w:r>
        <w:rPr>
          <w:rStyle w:val="VerbatimChar"/>
          <w:sz w:val="16"/>
          <w:szCs w:val="16"/>
        </w:rPr>
        <w:t xml:space="preserve">│   │           ▲                                       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        │ REST / JSON                           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        ▼                                       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[React Web Portal] (Карта цен, симулятор задач, FinOps-дашборд)              │   │</w:t>
      </w:r>
      <w:r>
        <w:br/>
      </w:r>
      <w:r>
        <w:rPr>
          <w:rStyle w:val="VerbatimChar"/>
          <w:sz w:val="16"/>
          <w:szCs w:val="16"/>
        </w:rPr>
        <w:t xml:space="preserve">│   └───────────▲────────────────────────────────────────────────────────────────────┘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  <w:sz w:val="16"/>
          <w:szCs w:val="16"/>
        </w:rPr>
        <w:t xml:space="preserve">│               │                                                                        │</w:t>
      </w:r>
      <w:r>
        <w:br/>
      </w:r>
      <w:r>
        <w:rPr>
          <w:rStyle w:val="VerbatimChar"/>
          <w:sz w:val="16"/>
          <w:szCs w:val="16"/>
        </w:rPr>
        <w:t xml:space="preserve">│               │ REST API / Web                                                         │</w:t>
      </w:r>
      <w:r>
        <w:br/>
      </w:r>
      <w:r>
        <w:rPr>
          <w:rStyle w:val="VerbatimChar"/>
          <w:sz w:val="16"/>
          <w:szCs w:val="16"/>
        </w:rPr>
        <w:t xml:space="preserve">│   ┌───────────┴────────────────────────────────────────────────────────────────────┐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  <w:sz w:val="16"/>
          <w:szCs w:val="16"/>
        </w:rPr>
        <w:t xml:space="preserve">│   │ ВНУТРЕННИЕ СИСТЕМЫ И ПОЛЬЗОВАТЕЛИ КЛИЕНТА (Out of System Scope)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• Оркестраторы: Apache Airflow / Kubeflow / Cron             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• Вычислительная инфраструктура: GPU-кластеры и серверы в ЦОД                │   │</w:t>
      </w:r>
      <w:r>
        <w:br/>
      </w:r>
      <w:r>
        <w:rPr>
          <w:rStyle w:val="VerbatimChar"/>
          <w:sz w:val="16"/>
          <w:szCs w:val="16"/>
        </w:rPr>
        <w:t xml:space="preserve">│   │   • Пользователи: DataOps, MLOps, FinOps-менеджеры, Руководство                │   │</w:t>
      </w:r>
      <w:r>
        <w:br/>
      </w:r>
      <w:r>
        <w:rPr>
          <w:rStyle w:val="VerbatimChar"/>
          <w:sz w:val="16"/>
          <w:szCs w:val="16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5" w:name="Xd652f028ec71ed160a0bc2b0585e1399b971811"/>
    <w:p>
      <w:pPr>
        <w:pStyle w:val="Heading3"/>
      </w:pPr>
      <w:r>
        <w:t xml:space="preserve">4.1. Что входит в границы системы EcoGrid Flow (In-Scope):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Ingestion Layer:</w:t>
      </w:r>
      <w:r>
        <w:t xml:space="preserve"> </w:t>
      </w:r>
      <w:r>
        <w:t xml:space="preserve">Модули автоматической загрузки и парсинга Day-Ahead котировок (XML) и метеопрогнозов (JSON).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Quality Module:</w:t>
      </w:r>
      <w:r>
        <w:t xml:space="preserve"> </w:t>
      </w:r>
      <w:r>
        <w:t xml:space="preserve">Контроль целостности, фильтрация аномалий, дедупликация и нормализация временных меток к UTC.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Storage Layer:</w:t>
      </w:r>
      <w:r>
        <w:t xml:space="preserve"> </w:t>
      </w:r>
      <w:r>
        <w:t xml:space="preserve">Локальная база данных PostgreSQL 16 с обязательным партиционированием таблиц временных рядов (7 таблиц: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entsoe_day_ahead_generation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open_meteo_historical_weather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Optimization Core:</w:t>
      </w:r>
      <w:r>
        <w:t xml:space="preserve"> </w:t>
      </w:r>
      <w:r>
        <w:t xml:space="preserve">Вычислительный модуль расчета динамического PUE и алгоритм скользящего окна пространственно-временного арбитража.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Защищенный внутренний REST API на FastAPI для интеграции с корпоративными планировщиками.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UI:</w:t>
      </w:r>
      <w:r>
        <w:t xml:space="preserve"> </w:t>
      </w:r>
      <w:r>
        <w:t xml:space="preserve">Пользовательский веб-портал на React для визуализации тарифов, ручного моделирования задач и FinOps-отчетности.</w:t>
      </w:r>
    </w:p>
    <w:bookmarkEnd w:id="85"/>
    <w:bookmarkStart w:id="86" w:name="Xa4d12894f0e02de162780ec499f3bb02ddcb665"/>
    <w:p>
      <w:pPr>
        <w:pStyle w:val="Heading3"/>
      </w:pPr>
      <w:r>
        <w:t xml:space="preserve">4.2. Внешние системы и зависимости (External / Out-of-Scope):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ENTSO-E Transparency Platform:</w:t>
      </w:r>
      <w:r>
        <w:t xml:space="preserve"> </w:t>
      </w:r>
      <w:r>
        <w:t xml:space="preserve">Внешний поставщик открытых рыночных данных энергосистемы Европы (доступ по HTTPS через токен).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Open-Meteo API:</w:t>
      </w:r>
      <w:r>
        <w:t xml:space="preserve"> </w:t>
      </w:r>
      <w:r>
        <w:t xml:space="preserve">Внешний открытый метеорологический сервис (доступ по HTTPS по координатам площадок).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Корпоративные оркестраторы (Airflow, Slurm):</w:t>
      </w:r>
      <w:r>
        <w:t xml:space="preserve"> </w:t>
      </w:r>
      <w:r>
        <w:t xml:space="preserve">Внешние по отношению к сервису клиенты, инициирующие запросы на оптимизацию и фактически исполняющие вычисления.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Серверная инфраструктура ЦОД:</w:t>
      </w:r>
      <w:r>
        <w:t xml:space="preserve"> </w:t>
      </w:r>
      <w:r>
        <w:t xml:space="preserve">Физические серверы и GPU-ноды, на которых выполняются целевые задачи. EcoGrid Flow</w:t>
      </w:r>
      <w:r>
        <w:t xml:space="preserve"> </w:t>
      </w:r>
      <w:r>
        <w:rPr>
          <w:b/>
          <w:bCs/>
        </w:rPr>
        <w:t xml:space="preserve">не управляет питанием серверов напрямую</w:t>
      </w:r>
      <w:r>
        <w:t xml:space="preserve"> </w:t>
      </w:r>
      <w:r>
        <w:t xml:space="preserve">в рамках MVP, а выдает аналитические рекомендации.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X80ef9a72bdf2664087043852d0d4d501bbc94b4"/>
    <w:p>
      <w:pPr>
        <w:pStyle w:val="Heading2"/>
      </w:pPr>
      <w:r>
        <w:t xml:space="preserve">5. Каталог источников данных</w:t>
      </w:r>
    </w:p>
    <w:p>
      <w:pPr>
        <w:pStyle w:val="FirstParagraph"/>
      </w:pPr>
      <w:r>
        <w:t xml:space="preserve">Каталог данных фиксирует внешние публичные и внутренние корпоративные источники, необходимые для функционирования аналитического контура EcoGrid Flow.</w:t>
      </w:r>
    </w:p>
    <w:p>
      <w:pPr>
        <w:pStyle w:val="BlockText"/>
      </w:pPr>
      <w:r>
        <w:rPr>
          <w:b/>
          <w:bCs/>
        </w:rPr>
        <w:t xml:space="preserve">Совет.</w:t>
      </w:r>
      <w:r>
        <w:t xml:space="preserve"> </w:t>
      </w:r>
      <w:r>
        <w:t xml:space="preserve">Каталог составлен в соответствии с критериями контроля: не ограничивается названиями файлов, детально описывает форматы, частоту, объемы, владельцев данных, способы доступа и механизмы обеспечения качества (Data Quality).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"/>
        <w:gridCol w:w="1003"/>
        <w:gridCol w:w="1003"/>
        <w:gridCol w:w="1003"/>
        <w:gridCol w:w="1003"/>
        <w:gridCol w:w="780"/>
        <w:gridCol w:w="948"/>
        <w:gridCol w:w="1003"/>
        <w:gridCol w:w="100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и используемые атрибуты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получения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объем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/ 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Data Quality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ENTSO-E Transparency Platform</w:t>
            </w:r>
            <w:r>
              <w:t xml:space="preserve"> </w:t>
            </w:r>
            <w:r>
              <w:t xml:space="preserve">— Day-Ahead Prices (</w:t>
            </w:r>
            <w:r>
              <w:rPr>
                <w:rStyle w:val="VerbatimChar"/>
                <w:sz w:val="17"/>
                <w:szCs w:val="17"/>
              </w:rPr>
              <w:t xml:space="preserve">entsoe_day_ahead_prices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Спотовые цены на электроэнергию по энергозонам. Основной источник для расчёта стоимости выполнения задачи и выбора дешевого окна.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price_unit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resolution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XML</w:t>
            </w:r>
            <w:r>
              <w:t xml:space="preserve"> </w:t>
            </w:r>
            <w:r>
              <w:t xml:space="preserve">(Publication_MarketDocument), timestamp ISO 8601; в БД: партиционированная таблица PostgreSQL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period_start</w:t>
            </w:r>
            <w:r>
              <w:t xml:space="preserve">, шаг —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сутки (13:00–14:00 CET) с возможностью повторной проверки при задержках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24–96 записей на зону в сутки (при 15-мин шаге). Для 3–5 зон: ~288–480 записей/день (~105–175 тыс./год)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/ Национальные операторы энергосетей (TSO)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Web API по HTTPS с Security Token в заголовке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полноты 24/96 интервалов; проверка диапазона цен (-500 … +4000 €); контроль валюты (</w:t>
            </w:r>
            <w:r>
              <w:rPr>
                <w:rStyle w:val="VerbatimChar"/>
                <w:sz w:val="17"/>
                <w:szCs w:val="17"/>
              </w:rPr>
              <w:t xml:space="preserve">EUR</w:t>
            </w:r>
            <w:r>
              <w:t xml:space="preserve">) и единиц измерения (</w:t>
            </w:r>
            <w:r>
              <w:rPr>
                <w:rStyle w:val="VerbatimChar"/>
                <w:sz w:val="17"/>
                <w:szCs w:val="17"/>
              </w:rPr>
              <w:t xml:space="preserve">price_unit = MWh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ENTSO-E Transparency Platform</w:t>
            </w:r>
            <w:r>
              <w:t xml:space="preserve"> </w:t>
            </w:r>
            <w:r>
              <w:t xml:space="preserve">— Generation / Energy Mix (</w:t>
            </w:r>
            <w:r>
              <w:rPr>
                <w:rStyle w:val="VerbatimChar"/>
                <w:sz w:val="17"/>
                <w:szCs w:val="17"/>
              </w:rPr>
              <w:t xml:space="preserve">entsoe_day_ahead_generation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о производстве электроэнергии и структуре генерации по зонам для аналитики рынка и оценки углеродоемкости сети.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production_type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generation_mw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resolution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XML</w:t>
            </w:r>
            <w:r>
              <w:t xml:space="preserve"> </w:t>
            </w:r>
            <w:r>
              <w:t xml:space="preserve">(GL_MarketDocument); в БД: партиционированная таблица PostgreSQL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period_start</w:t>
            </w:r>
            <w:r>
              <w:t xml:space="preserve">,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раза в сутки по факту публикации операторами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записей в сутки в зависимости от детальности источников генерации в 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/ Национальные системные операторы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Web API по HTTPS с Security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неотрицательности выработки (</w:t>
            </w:r>
            <w:r>
              <w:rPr>
                <w:rStyle w:val="VerbatimChar"/>
                <w:sz w:val="17"/>
                <w:szCs w:val="17"/>
              </w:rPr>
              <w:t xml:space="preserve">generation_mw &gt;= 0</w:t>
            </w:r>
            <w:r>
              <w:t xml:space="preserve">); контроль суммы генераций и допустимых типов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production_type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Open-Meteo Forecast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open_meteo_forecast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Оперативный метеопрогноз около дата-центров для расчёта динамического PUE и энергопотребления охлаждения.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forecast_time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temperature_2m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relative_humidity_2m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cloud_cover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wind_speed_10m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shortwave_radiation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retrieved_at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JSON</w:t>
            </w:r>
            <w:r>
              <w:t xml:space="preserve">; в БД: партиционированная таблица PostgreSQL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forecast_time</w:t>
            </w:r>
            <w:r>
              <w:t xml:space="preserve">,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3–6 часов (по мере обновления глобальных метеомоделей)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записи в сутки на переменную на каждый ЦОД. Для 3–5 ЦОД: ~200–500 записей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OpenMeteo GmbH (исходные модели DWD, ECMWF, NOAA)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API по географическим координатам ЦОД (</w:t>
            </w:r>
            <w:r>
              <w:rPr>
                <w:rStyle w:val="VerbatimChar"/>
                <w:sz w:val="17"/>
                <w:szCs w:val="17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longitude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физических границ температуры (-50°C … +50°C), влажности (0 … 100%), ветра (0 … 100 м/с); проверка отсутствия пропусков.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Open-Meteo Historical Weather Archive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open_meteo_historical_weather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Исторические ряды температуры, влажности, ветра и радиации за 3–5 лет для EDA, калибровки модели PUE и обучения ML-моделей.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observed_at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temperature_2m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relative_humidity_2m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cloud_cover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wind_speed_10m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shortwave_radiation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CSV</w:t>
            </w:r>
            <w:r>
              <w:t xml:space="preserve">; в БД: партиционированная таблица PostgreSQL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observed_at</w:t>
            </w:r>
            <w:r>
              <w:t xml:space="preserve">, шаг — 1 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Разовая первичная загрузка при развертывании; далее периодическое дозаполнение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год ≈ 8,76 тыс. записей на ЦОД. За 5 лет для 3 ЦОД: ~130 тыс.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OpenMeteo GmbH / метеослужбы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Historical Weather API с фильтром по координатам и датам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монотонности временной шкалы; выявление дубликатов; интерполяция единичных пропусков.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Справочник инфраструктуры клиента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datacenters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площадок ЦОД, географических координат, базовых PUE и характеристик серверного парка.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max_power_kw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base_pue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created_at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PostgreSQL /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JSON</w:t>
            </w:r>
            <w:r>
              <w:t xml:space="preserve"> </w:t>
            </w:r>
            <w:r>
              <w:t xml:space="preserve">(реляционный справочник)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Изменяется редко (при добавлении/изменении ЦОД или оборудования)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Десятки или сотни строк (в зависимости от размера серверного парка компании)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Компания-клиент (Infrastructure / DataOps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чтение из PostgreSQL / Внутренний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base_pue &gt;= 1.0</w:t>
            </w:r>
            <w:r>
              <w:t xml:space="preserve">; валидация географических координат; контроль внешнего ключа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bidding_zone</w:t>
            </w:r>
            <w:r>
              <w:t xml:space="preserve"> </w:t>
            </w:r>
            <w:r>
              <w:t xml:space="preserve">с таблицами рынка.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Параметры вычислительной задачи от клиента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jobs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 требования к batch-задачам от оркестраторов клиента (SLA, допустимые локации, мощность).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duration_minutes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required_power_kw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earliest_start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preferred_datacenter_id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allow_geo_migration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created_at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  <w:szCs w:val="17"/>
              </w:rPr>
              <w:t xml:space="preserve">JSON</w:t>
            </w:r>
            <w:r>
              <w:t xml:space="preserve"> </w:t>
            </w:r>
            <w:r>
              <w:t xml:space="preserve">по протоколу HTTP; в БД: таблица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 (при каждом запросе рекомендации от Airflow)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единиц до сотен/тысяч запросов в сутки; размер payload &lt; 2 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/ Корпоративный оркестратор (DataOps / MLOps)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POST-запрос на внутренний REST API (</w:t>
            </w:r>
            <w:r>
              <w:rPr>
                <w:rStyle w:val="VerbatimChar"/>
                <w:sz w:val="17"/>
                <w:szCs w:val="17"/>
              </w:rPr>
              <w:t xml:space="preserve">/api/v1/recommendations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валидация Pydantic-схемами: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duration_minutes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required_power_kw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deadline &gt; earliest_start &gt;= now()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Журнал рекомендаций и результатов расчётов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sz w:val="17"/>
                <w:szCs w:val="17"/>
              </w:rPr>
              <w:t xml:space="preserve">recommendations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Зафиксированные результаты работы оптимизатора: окно запуска, выбранный ЦОД, расчётная стоимость, базовая стоимость без оптимизации, сэкономленный бюджет. Атрибуты: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recommended_start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recommended_end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estimated_energy_kwh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calculated_at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(</w:t>
            </w:r>
            <w:r>
              <w:rPr>
                <w:rStyle w:val="VerbatimChar"/>
                <w:sz w:val="17"/>
                <w:szCs w:val="17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calculated_at</w:t>
            </w:r>
            <w:r>
              <w:t xml:space="preserve">, шаг —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каждом расчете рекомендации и по факту завершения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запись на задачу плюс технические логи. При 1 000 задач/день: ~365 тыс. записей/год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EcoGrid Flow (собственный внутренний источник сервиса)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сохранение через SQLAlchemy / AsyncPG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целостности внешних ключей (</w:t>
            </w:r>
            <w:r>
              <w:rPr>
                <w:rStyle w:val="VerbatimChar"/>
                <w:sz w:val="17"/>
                <w:szCs w:val="17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datacenter_id</w:t>
            </w:r>
            <w:r>
              <w:t xml:space="preserve">); проверка формулы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estimated_savings = baseline - estimated_cost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sz w:val="17"/>
                <w:szCs w:val="17"/>
              </w:rPr>
              <w:t xml:space="preserve">recommended_end &lt;= deadline</w:t>
            </w:r>
            <w:r>
              <w:t xml:space="preserve">.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20" w:footer="720" w:gutter="0"/>
        </w:sectPr>
      </w:pPr>
    </w:p>
    <w:p>
      <w:r>
        <w:pict>
          <v:rect style="width:0;height:1.5pt" o:hralign="center" o:hrstd="t" o:hr="t"/>
        </w:pict>
      </w:r>
    </w:p>
    <w:bookmarkEnd w:id="88"/>
    <w:bookmarkStart w:id="91" w:name="Xf9c2623bee29476e8e18c83f71cb401190cc8b4"/>
    <w:p>
      <w:pPr>
        <w:pStyle w:val="Heading2"/>
      </w:pPr>
      <w:r>
        <w:t xml:space="preserve">6. Бизнес-правила и системные ограничения</w:t>
      </w:r>
    </w:p>
    <w:bookmarkStart w:id="89" w:name="X880b3e7979bf2a16e8262839886768784daa968"/>
    <w:p>
      <w:pPr>
        <w:pStyle w:val="Heading3"/>
      </w:pPr>
      <w:r>
        <w:t xml:space="preserve">6.1. Бизнес-правила (Business Rules)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BR-01 (Гарантия соблюдения SLA-дедлайна — Hard Constraint):</w:t>
      </w:r>
      <w:r>
        <w:br/>
      </w:r>
      <w:r>
        <w:t xml:space="preserve">Оптимальное окно запуска задачи</w:t>
      </w:r>
      <w:r>
        <w:t xml:space="preserve"> </w:t>
      </w:r>
      <w:r>
        <w:rPr>
          <w:rStyle w:val="VerbatimChar"/>
        </w:rPr>
        <w:t xml:space="preserve">[t_start, t_start + duration]</w:t>
      </w:r>
      <w:r>
        <w:t xml:space="preserve"> </w:t>
      </w:r>
      <w:r>
        <w:t xml:space="preserve">обязано строго завершаться до указанного пользователем дедлайна:</w:t>
      </w:r>
      <w:r>
        <w:br/>
      </w:r>
      <w:r>
        <w:rPr>
          <w:rStyle w:val="VerbatimChar"/>
        </w:rPr>
        <w:t xml:space="preserve">t_start + duration ≤ deadline</w:t>
      </w:r>
      <w:r>
        <w:br/>
      </w:r>
      <w:r>
        <w:t xml:space="preserve">Система не имеет права предлагать слот с меньшей стоимостью, если он нарушает дедлайн.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BR-02 (Неделимость вычислительной задачи — Non-preemptive Execution):</w:t>
      </w:r>
      <w:r>
        <w:br/>
      </w:r>
      <w:r>
        <w:t xml:space="preserve">Пакетная задача длительностью N часов является непрерывной. Поиск окна ведется методом скользящего окна как интеграл непрерывной стоимости за N последовательных часов без разбиения задачи на части.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BR-03 (Изоляция корпоративных данных — Zero Outbound Leaks):</w:t>
      </w:r>
      <w:r>
        <w:br/>
      </w:r>
      <w:r>
        <w:t xml:space="preserve">Во внешний интернет запрещено передавать любые метаданные клиента (названия серверов, внутренние IP-адреса, имена задач, логи). Разрешены только исходящие GET-запросы за обезличенными публичными котировками и погодой.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BR-04 (Модель динамического PUE и энергоэффективности):</w:t>
      </w:r>
      <w:r>
        <w:br/>
      </w:r>
      <w:r>
        <w:t xml:space="preserve">Совокупная стоимость вычисления рассчитывается с учетом динамической температуры:</w:t>
      </w:r>
      <w:r>
        <w:br/>
      </w:r>
      <w:r>
        <w:rPr>
          <w:rStyle w:val="VerbatimChar"/>
        </w:rPr>
        <w:t xml:space="preserve">Cost = Σ (P_server × PUE(T_t) × Price_spot(t))</w:t>
      </w:r>
      <w:r>
        <w:br/>
      </w:r>
      <w:r>
        <w:t xml:space="preserve">где при</w:t>
      </w:r>
      <w:r>
        <w:t xml:space="preserve"> </w:t>
      </w:r>
      <w:r>
        <w:rPr>
          <w:rStyle w:val="VerbatimChar"/>
        </w:rPr>
        <w:t xml:space="preserve">T_t ≤ T_free</w:t>
      </w:r>
      <w:r>
        <w:t xml:space="preserve"> </w:t>
      </w:r>
      <w:r>
        <w:t xml:space="preserve">действует режим Free Cooling (</w:t>
      </w:r>
      <w:r>
        <w:rPr>
          <w:rStyle w:val="VerbatimChar"/>
        </w:rPr>
        <w:t xml:space="preserve">PUE = base_pue</w:t>
      </w:r>
      <w:r>
        <w:t xml:space="preserve">), а при</w:t>
      </w:r>
      <w:r>
        <w:t xml:space="preserve"> </w:t>
      </w:r>
      <w:r>
        <w:rPr>
          <w:rStyle w:val="VerbatimChar"/>
        </w:rPr>
        <w:t xml:space="preserve">T_t &gt; T_free</w:t>
      </w:r>
      <w:r>
        <w:t xml:space="preserve"> </w:t>
      </w:r>
      <w:r>
        <w:t xml:space="preserve">добавляются затраты на работу компрессоров.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BR-05 (Регламент устаревания данных и аварийный Fallback):</w:t>
      </w:r>
      <w:r>
        <w:br/>
      </w:r>
      <w:r>
        <w:t xml:space="preserve">Если свежие Day-Ahead цены не поступили до 14:30 CET из-за сбоя серверов ENTSO-E, система переходит в режим Fallback: выдает рекомендацию на основе скользящей медианы тарифа за те же часы аналогичных дней недели предыдущих 3 недель (</w:t>
      </w:r>
      <w:r>
        <w:rPr>
          <w:rStyle w:val="VerbatimChar"/>
        </w:rPr>
        <w:t xml:space="preserve">FR-ENG-05</w:t>
      </w:r>
      <w:r>
        <w:t xml:space="preserve">) с обязательным предупреждающим флагом</w:t>
      </w:r>
      <w:r>
        <w:t xml:space="preserve"> </w:t>
      </w:r>
      <w:r>
        <w:rPr>
          <w:rStyle w:val="VerbatimChar"/>
        </w:rPr>
        <w:t xml:space="preserve">is_fallback: true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BR-06 (Порог целесообразности географического арбитража):</w:t>
      </w:r>
      <w:r>
        <w:br/>
      </w:r>
      <w:r>
        <w:t xml:space="preserve">Перенос задачи из «домашнего» ЦОД в удаленный рекомендуется только в том случае, если прогнозируемая экономия на электроэнергии превышает порог накладных расходов на сетевую передачу данных между дата-центрами (Egress Data Overhead Threshold):</w:t>
      </w:r>
      <w:r>
        <w:br/>
      </w:r>
      <w:r>
        <w:rPr>
          <w:rStyle w:val="VerbatimChar"/>
        </w:rPr>
        <w:t xml:space="preserve">Savings_EUR &gt; Cost_network_transfer</w:t>
      </w:r>
    </w:p>
    <w:p>
      <w:r>
        <w:pict>
          <v:rect style="width:0;height:1.5pt" o:hralign="center" o:hrstd="t" o:hr="t"/>
        </w:pict>
      </w:r>
    </w:p>
    <w:bookmarkEnd w:id="89"/>
    <w:bookmarkStart w:id="90" w:name="Xecf3f6cd9262a1d6336dab013e5f4274aa8485b"/>
    <w:p>
      <w:pPr>
        <w:pStyle w:val="Heading3"/>
      </w:pPr>
      <w:r>
        <w:t xml:space="preserve">6.2. Системные и нефункциональные ограничения (Constraints)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Архитектурное ограничение:</w:t>
      </w:r>
      <w:r>
        <w:t xml:space="preserve"> </w:t>
      </w:r>
      <w:r>
        <w:t xml:space="preserve">Развертывание всей инфраструктуры в закрытом контуре через Docker Compose на хосте заказчика (Ubuntu Linux / macOS, Docker Engine 24+).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Требования к производительности:</w:t>
      </w:r>
      <w:r>
        <w:t xml:space="preserve"> </w:t>
      </w:r>
      <w:r>
        <w:t xml:space="preserve">Время расчета рекомендации для задачи с горизонтом планирования до 48 часов не должно превышать</w:t>
      </w:r>
      <w:r>
        <w:t xml:space="preserve"> </w:t>
      </w:r>
      <w:r>
        <w:rPr>
          <w:b/>
          <w:bCs/>
        </w:rPr>
        <w:t xml:space="preserve">200 миллисекунд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Требования к хранению:</w:t>
      </w:r>
      <w:r>
        <w:t xml:space="preserve"> </w:t>
      </w:r>
      <w:r>
        <w:t xml:space="preserve">База данных PostgreSQL 16 с обязательным секционированием (партиционированием) таблиц временных рядов по месяцам для обеспечения стабильной скорости аналитических выборок.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Сетевые ограничения:</w:t>
      </w:r>
      <w:r>
        <w:t xml:space="preserve"> </w:t>
      </w:r>
      <w:r>
        <w:t xml:space="preserve">Доступ во внешнюю сеть строго ограничен белым списком доменов:</w:t>
      </w:r>
      <w:r>
        <w:t xml:space="preserve"> </w:t>
      </w:r>
      <w:r>
        <w:rPr>
          <w:rStyle w:val="VerbatimChar"/>
        </w:rPr>
        <w:t xml:space="preserve">transparency.entsoe.eu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api.open-meteo.com</w:t>
      </w:r>
      <w:r>
        <w:t xml:space="preserve"> </w:t>
      </w:r>
      <w:r>
        <w:t xml:space="preserve">по HTTPS (порт 443).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9b23a788801d1950a50ec28b248b7127e67ed75"/>
    <w:p>
      <w:pPr>
        <w:pStyle w:val="Heading2"/>
      </w:pPr>
      <w:r>
        <w:t xml:space="preserve">7. Контекстная диаграмма системы (C4 Context)</w:t>
      </w:r>
    </w:p>
    <w:p>
      <w:pPr>
        <w:pStyle w:val="FirstParagraph"/>
      </w:pPr>
      <w:r>
        <w:t xml:space="preserve">Диаграмма контекста описывает границы разрабатываемой системы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ее пользователей и внешние взаимодействующие сервисы.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Рисунок 4. Контекстная диаграмма системы EcoGrid Flow (C4 Context, уровень 1)" title="" id="93" name="Picture"/>
            <a:graphic>
              <a:graphicData uri="http://schemas.openxmlformats.org/drawingml/2006/picture">
                <pic:pic>
                  <pic:nvPicPr>
                    <pic:cNvPr descr="context-diagram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Контекстная диаграмма системы EcoGrid Flow (C4 Context, уровень 1)</w:t>
      </w:r>
    </w:p>
    <w:p>
      <w:pPr>
        <w:pStyle w:val="BodyText"/>
      </w:pPr>
      <w:r>
        <w:rPr>
          <w:b/>
          <w:bCs/>
        </w:rPr>
        <w:t xml:space="preserve">Как читать диаграмму.</w:t>
      </w:r>
    </w:p>
    <w:p>
      <w:pPr>
        <w:pStyle w:val="Compact"/>
        <w:numPr>
          <w:ilvl w:val="0"/>
          <w:numId w:val="1014"/>
        </w:numPr>
      </w:pPr>
      <w:r>
        <w:t xml:space="preserve">Внутри пунктирного контура VPC находятся система, её пользователи и внутренние системы клиента. Наружу, в публичный интернет, уходят только запросы за открытыми данными (ENTSO-E, Open-Meteo) через egress-фильтр (NFR-SEC-02).</w:t>
      </w:r>
    </w:p>
    <w:p>
      <w:pPr>
        <w:pStyle w:val="Compact"/>
        <w:numPr>
          <w:ilvl w:val="0"/>
          <w:numId w:val="1014"/>
        </w:numPr>
      </w:pPr>
      <w:r>
        <w:t xml:space="preserve">Оркестратор (Airflow / Slurm) получает рекомендацию (UC-01) и сам запускает задачу в ЦОД. EcoGrid серверами не управляет, поэтому стрелка «оркестратор → ЦОД» идёт мимо системы.</w:t>
      </w:r>
    </w:p>
    <w:p>
      <w:pPr>
        <w:pStyle w:val="Compact"/>
        <w:numPr>
          <w:ilvl w:val="0"/>
          <w:numId w:val="1014"/>
        </w:numPr>
      </w:pPr>
      <w:r>
        <w:t xml:space="preserve">DataOps работает с оркестратором, а не с EcoGrid напрямую: интеграция машинная (M2M).</w:t>
      </w:r>
    </w:p>
    <w:p>
      <w:pPr>
        <w:pStyle w:val="Compact"/>
        <w:numPr>
          <w:ilvl w:val="0"/>
          <w:numId w:val="1014"/>
        </w:numPr>
      </w:pPr>
      <w:r>
        <w:t xml:space="preserve">Внутренние компоненты (ETL, DQ Gate, движок, API, БД) на уровне контекста не показываются, они относятся к уровню Container (см. §4).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8" Target="numbering.xml" /><Relationship Type="http://schemas.openxmlformats.org/officeDocument/2006/relationships/styles" Id="rId57" Target="styles.xml" /><Relationship Type="http://schemas.openxmlformats.org/officeDocument/2006/relationships/settings" Id="rId56" Target="settings.xml" /><Relationship Type="http://schemas.openxmlformats.org/officeDocument/2006/relationships/webSettings" Id="rId55" Target="webSettings.xml" /><Relationship Type="http://schemas.openxmlformats.org/officeDocument/2006/relationships/fontTable" Id="rId54" Target="fontTable.xml" /><Relationship Type="http://schemas.openxmlformats.org/officeDocument/2006/relationships/theme" Id="rId53" Target="theme/theme1.xml" /><Relationship Type="http://schemas.openxmlformats.org/officeDocument/2006/relationships/footnotes" Id="rId52" Target="footnotes.xml" /><Relationship Type="http://schemas.openxmlformats.org/officeDocument/2006/relationships/comments" Id="rId51" Target="comments.xml" /><Relationship Id="rId11" Target="media/rId11.png" Type="http://schemas.openxmlformats.org/officeDocument/2006/relationships/image" /><Relationship Id="rId27" Target="media/rId27.png" Type="http://schemas.openxmlformats.org/officeDocument/2006/relationships/image" /><Relationship Id="rId37" Target="media/rId37.png" Type="http://schemas.openxmlformats.org/officeDocument/2006/relationships/image" /><Relationship Id="rId41" Target="media/rId41.png" Type="http://schemas.openxmlformats.org/officeDocument/2006/relationships/image" /><Relationship Id="rId50" Target="media/rId50.png" Type="http://schemas.openxmlformats.org/officeDocument/2006/relationships/image" /><Relationship Type="http://schemas.openxmlformats.org/officeDocument/2006/relationships/image" Id="rId92" Target="media/rId92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2026-10-08T11:00:06Z</dcterms:created>
  <dcterms:modified xsi:type="dcterms:W3CDTF">2026-10-08T11:00:06Z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