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Arial" w:hAnsi="Arial"/>
          <w:b/>
          <w:color w:val="0F2942"/>
          <w:sz w:val="44"/>
        </w:rPr>
        <w:t>Архитектура проекта EcoGrid Flow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insideH w:val="single" w:sz="4" w:space="0" w:color="D0D7DE"/>
          <w:insideV w:val="none"/>
          <w:left w:val="none"/>
          <w:right w:val="none"/>
        </w:tblBorders>
      </w:tblPr>
      <w:tblGrid>
        <w:gridCol w:w="4819"/>
        <w:gridCol w:w="4819"/>
      </w:tblGrid>
      <w:tr>
        <w:tc>
          <w:tcPr>
            <w:tcW w:type="dxa" w:w="2551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B365D"/>
                <w:sz w:val="19"/>
              </w:rPr>
              <w:t>Тип системы</w:t>
            </w:r>
          </w:p>
        </w:tc>
        <w:tc>
          <w:tcPr>
            <w:tcW w:type="dxa" w:w="6803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On-Premise Аналитический B2B-сервис</w:t>
            </w:r>
          </w:p>
        </w:tc>
      </w:tr>
      <w:tr>
        <w:tc>
          <w:tcPr>
            <w:tcW w:type="dxa" w:w="2551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B365D"/>
                <w:sz w:val="19"/>
              </w:rPr>
              <w:t>Стек технологий</w:t>
            </w:r>
          </w:p>
        </w:tc>
        <w:tc>
          <w:tcPr>
            <w:tcW w:type="dxa" w:w="6803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color w:val="333333"/>
                <w:sz w:val="19"/>
              </w:rPr>
              <w:t>Python 3.11, FastAPI, React, PostgreSQL, Docker Compose, ML (XGBoost / Prophet во 2-м семестре)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0F2942"/>
          <w:sz w:val="30"/>
        </w:rPr>
        <w:t>1. Концепция развертывания (On-Premise)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insideH w:val="none"/>
          <w:insideV w:val="none"/>
          <w:left w:val="single" w:sz="24" w:space="0" w:color="1B365D"/>
          <w:right w:val="none"/>
        </w:tblBorders>
      </w:tblPr>
      <w:tblGrid>
        <w:gridCol w:w="9638"/>
      </w:tblGrid>
      <w:tr>
        <w:tc>
          <w:tcPr>
            <w:tcW w:type="dxa" w:w="9354"/>
            <w:shd w:fill="F0F4F8"/>
            <w:tcMar>
              <w:top w:w="140" w:type="dxa"/>
              <w:bottom w:w="140" w:type="dxa"/>
              <w:left w:w="200" w:type="dxa"/>
              <w:right w:w="180" w:type="dxa"/>
            </w:tcMar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B365D"/>
                <w:sz w:val="21"/>
              </w:rPr>
              <w:t>🛡️ Принцип изоляции корпоративных данных</w:t>
              <w:br/>
            </w:r>
            <w:r>
              <w:rPr>
                <w:rFonts w:ascii="Arial" w:hAnsi="Arial"/>
                <w:color w:val="333333"/>
                <w:sz w:val="19"/>
              </w:rPr>
              <w:t>Сервис поставляется как Docker-композиция и разворачивается в закрытом сетевом контуре (VPC) компании-клиента. Это гарантирует безопасность корпоративных данных (списки дата-центров, характеристики оборудования, внутренние логи задач) — они никогда не покидают периметр компании. Сервис обращается во внешний интернет исключительно для загрузки публичных котировок электроэнергии и прогноза погоды.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rFonts w:ascii="Arial" w:hAnsi="Arial"/>
          <w:b/>
          <w:color w:val="0F2942"/>
          <w:sz w:val="30"/>
        </w:rPr>
        <w:t>2. Компоненты системы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52160" cy="4197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97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6E7781"/>
          <w:sz w:val="17"/>
        </w:rPr>
        <w:t>Рисунок 1 — Архитектурная схема компонентов и контуров EcoGrid Flow</w:t>
      </w:r>
    </w:p>
    <w:p>
      <w:pPr>
        <w:spacing w:before="200" w:after="80"/>
      </w:pPr>
      <w:r>
        <w:rPr>
          <w:rFonts w:ascii="Arial" w:hAnsi="Arial"/>
          <w:b/>
          <w:color w:val="1B365D"/>
          <w:sz w:val="25"/>
        </w:rPr>
        <w:t>2.1. Ingestion Layer (Сбор данных)</w:t>
      </w:r>
    </w:p>
    <w:p>
      <w:pPr>
        <w:pStyle w:val="ListBullet"/>
        <w:spacing w:before="20" w:after="40"/>
      </w:pPr>
      <w:r>
        <w:rPr>
          <w:rFonts w:ascii="Arial" w:hAnsi="Arial"/>
          <w:b/>
          <w:sz w:val="19"/>
        </w:rPr>
        <w:t xml:space="preserve">Технологии: </w:t>
      </w:r>
      <w:r>
        <w:rPr>
          <w:rFonts w:ascii="Arial" w:hAnsi="Arial"/>
          <w:sz w:val="19"/>
        </w:rPr>
        <w:t>APScheduler / Celery Workers</w:t>
      </w:r>
    </w:p>
    <w:p>
      <w:pPr>
        <w:pStyle w:val="ListBullet"/>
        <w:spacing w:before="20" w:after="40"/>
      </w:pPr>
      <w:r>
        <w:rPr>
          <w:rFonts w:ascii="Arial" w:hAnsi="Arial"/>
          <w:b/>
          <w:sz w:val="19"/>
        </w:rPr>
        <w:t xml:space="preserve">Автоматическая синхронизация: </w:t>
      </w:r>
      <w:r>
        <w:rPr>
          <w:rFonts w:ascii="Arial" w:hAnsi="Arial"/>
          <w:sz w:val="19"/>
        </w:rPr>
        <w:t>загрузка данных по расписанию и событиям.</w:t>
      </w:r>
    </w:p>
    <w:p>
      <w:pPr>
        <w:pStyle w:val="ListBullet"/>
        <w:spacing w:before="20" w:after="40"/>
      </w:pPr>
      <w:r>
        <w:rPr>
          <w:rFonts w:ascii="Arial" w:hAnsi="Arial"/>
          <w:b/>
          <w:sz w:val="19"/>
        </w:rPr>
        <w:t xml:space="preserve">Отказоустойчивость: </w:t>
      </w:r>
      <w:r>
        <w:rPr>
          <w:rFonts w:ascii="Arial" w:hAnsi="Arial"/>
          <w:sz w:val="19"/>
        </w:rPr>
        <w:t>обработка сетевых ошибок, таймаутов и автоматические повторные попытки (retry-политики).</w:t>
      </w:r>
    </w:p>
    <w:p>
      <w:pPr>
        <w:pStyle w:val="ListBullet"/>
        <w:spacing w:before="20" w:after="40"/>
      </w:pPr>
      <w:r>
        <w:rPr>
          <w:rFonts w:ascii="Arial" w:hAnsi="Arial"/>
          <w:b/>
          <w:sz w:val="19"/>
        </w:rPr>
        <w:t xml:space="preserve">Data Quality валидация: </w:t>
      </w:r>
      <w:r>
        <w:rPr>
          <w:rFonts w:ascii="Arial" w:hAnsi="Arial"/>
          <w:sz w:val="19"/>
        </w:rPr>
        <w:t>предварительная проверка пропусков, выбросов и аномалий перед записью в базу данных.</w:t>
      </w:r>
    </w:p>
    <w:p>
      <w:pPr>
        <w:spacing w:after="80"/>
      </w:pPr>
    </w:p>
    <w:p>
      <w:pPr>
        <w:sectPr>
          <w:headerReference w:type="default" r:id="rId9"/>
          <w:footerReference w:type="default" r:id="rId10"/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spacing w:before="80" w:after="60"/>
      </w:pPr>
      <w:r>
        <w:rPr>
          <w:rFonts w:ascii="Arial" w:hAnsi="Arial"/>
          <w:b/>
          <w:color w:val="0F2942"/>
          <w:sz w:val="26"/>
        </w:rPr>
        <w:t>Таблица 1 — Каталог источников данных EcoGrid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insideH w:val="none"/>
          <w:insideV w:val="none"/>
          <w:left w:val="single" w:sz="24" w:space="0" w:color="107C41"/>
          <w:right w:val="none"/>
        </w:tblBorders>
      </w:tblPr>
      <w:tblGrid>
        <w:gridCol w:w="14798"/>
      </w:tblGrid>
      <w:tr>
        <w:tc>
          <w:tcPr>
            <w:tcW w:type="dxa" w:w="9354"/>
            <w:shd w:fill="F4F9F4"/>
            <w:tcMar>
              <w:top w:w="140" w:type="dxa"/>
              <w:bottom w:w="140" w:type="dxa"/>
              <w:left w:w="200" w:type="dxa"/>
              <w:right w:w="180" w:type="dxa"/>
            </w:tcMar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07C41"/>
                <w:sz w:val="21"/>
              </w:rPr>
              <w:t>💡 Проектная оценка объёмов (MVP)</w:t>
              <w:br/>
            </w:r>
            <w:r>
              <w:rPr>
                <w:rFonts w:ascii="Arial" w:hAnsi="Arial"/>
                <w:color w:val="333333"/>
                <w:sz w:val="19"/>
              </w:rPr>
              <w:t>Каталог фиксирует внешние и внутренние источники данных, необходимые аналитическому сервису. Объёмы ниже являются проектной оценкой для MVP и служат для расчёта нагрузки на ETL и PostgreSQL. Фактический объём будет уточняться после подключения API и выбора окончательного набора энергозон и ЦОД.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insideH w:val="single" w:sz="4" w:space="0" w:color="D0D7DE"/>
          <w:insideV w:val="none"/>
          <w:left w:val="none"/>
          <w:right w:val="none"/>
        </w:tblBorders>
      </w:tblPr>
      <w:tblGrid>
        <w:gridCol w:w="1644"/>
        <w:gridCol w:w="1644"/>
        <w:gridCol w:w="1644"/>
        <w:gridCol w:w="1644"/>
        <w:gridCol w:w="1644"/>
        <w:gridCol w:w="1644"/>
        <w:gridCol w:w="1644"/>
        <w:gridCol w:w="1644"/>
        <w:gridCol w:w="1644"/>
      </w:tblGrid>
      <w:tr>
        <w:trPr>
          <w:tblHeader/>
        </w:trPr>
        <w:tc>
          <w:tcPr>
            <w:tcW w:type="dxa" w:w="510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154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Источник данных</w:t>
            </w:r>
          </w:p>
        </w:tc>
        <w:tc>
          <w:tcPr>
            <w:tcW w:type="dxa" w:w="2891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Какие данные используются / назначение</w:t>
            </w:r>
          </w:p>
        </w:tc>
        <w:tc>
          <w:tcPr>
            <w:tcW w:type="dxa" w:w="1247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Формат</w:t>
            </w:r>
          </w:p>
        </w:tc>
        <w:tc>
          <w:tcPr>
            <w:tcW w:type="dxa" w:w="1474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Частота</w:t>
            </w:r>
          </w:p>
        </w:tc>
        <w:tc>
          <w:tcPr>
            <w:tcW w:type="dxa" w:w="1984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Ожидаемый объём</w:t>
            </w:r>
          </w:p>
        </w:tc>
        <w:tc>
          <w:tcPr>
            <w:tcW w:type="dxa" w:w="1757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Владелец / ответственный</w:t>
            </w:r>
          </w:p>
        </w:tc>
        <w:tc>
          <w:tcPr>
            <w:tcW w:type="dxa" w:w="1701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Способ доступа</w:t>
            </w:r>
          </w:p>
        </w:tc>
        <w:tc>
          <w:tcPr>
            <w:tcW w:type="dxa" w:w="850"/>
            <w:shd w:fill="1B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1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24292E"/>
                <w:sz w:val="15"/>
              </w:rPr>
              <w:t>1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ENTSO-E Transparency Platform — Day-Ahead Prices</w:t>
            </w:r>
          </w:p>
        </w:tc>
        <w:tc>
          <w:tcPr>
            <w:tcW w:type="dxa" w:w="2891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Спотовые цены на электроэнергию по энергозонам. Основной источник для расчёта стоимости выполнения вычислительной задачи и выбора дешёвого временного окна.</w:t>
            </w:r>
          </w:p>
        </w:tc>
        <w:tc>
          <w:tcPr>
            <w:tcW w:type="dxa" w:w="1247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XML, timestamp, энергозона, цена EUR/MWh</w:t>
            </w:r>
          </w:p>
        </w:tc>
        <w:tc>
          <w:tcPr>
            <w:tcW w:type="dxa" w:w="1474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Автоматическая загрузка после публикации Day-Ahead данных; не реже 1 раза в сутки с повторной проверкой</w:t>
            </w:r>
          </w:p>
        </w:tc>
        <w:tc>
          <w:tcPr>
            <w:tcW w:type="dxa" w:w="1984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При 15-мин разрешении — до 96 знач./сутки на зону. Для 3–5 зон: ~288–480 записей/сутки (105–175 тыс./год)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ENTSO-E Transparency Platform / европейские TSO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REST/Web API по HTTPS, авторизация через Security Token</w:t>
            </w:r>
          </w:p>
        </w:tc>
        <w:tc>
          <w:tcPr>
            <w:tcW w:type="dxa" w:w="85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07C41"/>
                <w:sz w:val="15"/>
              </w:rPr>
              <w:t>MVP</w:t>
            </w:r>
          </w:p>
        </w:tc>
      </w:tr>
      <w:tr>
        <w:trPr>
          <w:cantSplit/>
        </w:trPr>
        <w:tc>
          <w:tcPr>
            <w:tcW w:type="dxa" w:w="51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24292E"/>
                <w:sz w:val="15"/>
              </w:rPr>
              <w:t>2</w:t>
            </w:r>
          </w:p>
        </w:tc>
        <w:tc>
          <w:tcPr>
            <w:tcW w:type="dxa" w:w="2154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ENTSO-E Transparency Platform — Generation / Energy Mix</w:t>
            </w:r>
          </w:p>
        </w:tc>
        <w:tc>
          <w:tcPr>
            <w:tcW w:type="dxa" w:w="2891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Данные о производстве электроэнергии и структуре генерации по зонам. Для аналитики энергорынка и оценки углеродной интенсивности.</w:t>
            </w:r>
          </w:p>
        </w:tc>
        <w:tc>
          <w:tcPr>
            <w:tcW w:type="dxa" w:w="1247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XML</w:t>
            </w:r>
          </w:p>
        </w:tc>
        <w:tc>
          <w:tcPr>
            <w:tcW w:type="dxa" w:w="1474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Синхронизация несколько раз в сутки по мере публикации</w:t>
            </w:r>
          </w:p>
        </w:tc>
        <w:tc>
          <w:tcPr>
            <w:tcW w:type="dxa" w:w="1984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Сотни записей в сутки для выбранных энергозон</w:t>
            </w:r>
          </w:p>
        </w:tc>
        <w:tc>
          <w:tcPr>
            <w:tcW w:type="dxa" w:w="1757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ENTSO-E / национальные TSO</w:t>
            </w:r>
          </w:p>
        </w:tc>
        <w:tc>
          <w:tcPr>
            <w:tcW w:type="dxa" w:w="1701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REST/Web API по HTTPS с Security Token</w:t>
            </w:r>
          </w:p>
        </w:tc>
        <w:tc>
          <w:tcPr>
            <w:tcW w:type="dxa" w:w="85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07C41"/>
                <w:sz w:val="15"/>
              </w:rPr>
              <w:t>MVP</w:t>
            </w:r>
          </w:p>
        </w:tc>
      </w:tr>
      <w:tr>
        <w:trPr>
          <w:cantSplit/>
        </w:trPr>
        <w:tc>
          <w:tcPr>
            <w:tcW w:type="dxa" w:w="51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24292E"/>
                <w:sz w:val="15"/>
              </w:rPr>
              <w:t>3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Open-Meteo Forecast API</w:t>
            </w:r>
          </w:p>
        </w:tc>
        <w:tc>
          <w:tcPr>
            <w:tcW w:type="dxa" w:w="2891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Прогноз температуры, ветра, влажности около ЦОД. Температура используется для расчёта динамического PUE и затрат на охлаждение.</w:t>
            </w:r>
          </w:p>
        </w:tc>
        <w:tc>
          <w:tcPr>
            <w:tcW w:type="dxa" w:w="1247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JSON, CSV/XLSX</w:t>
            </w:r>
          </w:p>
        </w:tc>
        <w:tc>
          <w:tcPr>
            <w:tcW w:type="dxa" w:w="1474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Синхронизация каждые 3–6 часов или по новому прогнозу</w:t>
            </w:r>
          </w:p>
        </w:tc>
        <w:tc>
          <w:tcPr>
            <w:tcW w:type="dxa" w:w="1984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Для 1 ЦОД: 24 записи/сутки на параметр. Для 3–5 ЦОД — сотни значений/сутки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OpenMeteo GmbH (DWD, ECMWF, NOAA)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HTTP GET API по координатам ЦОД (без ключа для прототипа)</w:t>
            </w:r>
          </w:p>
        </w:tc>
        <w:tc>
          <w:tcPr>
            <w:tcW w:type="dxa" w:w="85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07C41"/>
                <w:sz w:val="15"/>
              </w:rPr>
              <w:t>MVP</w:t>
            </w:r>
          </w:p>
        </w:tc>
      </w:tr>
      <w:tr>
        <w:trPr>
          <w:cantSplit/>
        </w:trPr>
        <w:tc>
          <w:tcPr>
            <w:tcW w:type="dxa" w:w="51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24292E"/>
                <w:sz w:val="15"/>
              </w:rPr>
              <w:t>4</w:t>
            </w:r>
          </w:p>
        </w:tc>
        <w:tc>
          <w:tcPr>
            <w:tcW w:type="dxa" w:w="2154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Open-Meteo Historical Weather API</w:t>
            </w:r>
          </w:p>
        </w:tc>
        <w:tc>
          <w:tcPr>
            <w:tcW w:type="dxa" w:w="2891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Исторические температура, ветер и метеопоказатели. Для EDA (исследование влияния погоды на PUE) и признаков ML-модели.</w:t>
            </w:r>
          </w:p>
        </w:tc>
        <w:tc>
          <w:tcPr>
            <w:tcW w:type="dxa" w:w="1247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JSON, CSV/XLSX</w:t>
            </w:r>
          </w:p>
        </w:tc>
        <w:tc>
          <w:tcPr>
            <w:tcW w:type="dxa" w:w="1474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Разовая первичная загрузка за 3–5 лет; периодическое дозаполнение</w:t>
            </w:r>
          </w:p>
        </w:tc>
        <w:tc>
          <w:tcPr>
            <w:tcW w:type="dxa" w:w="1984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3 года ≈ 26,3 тыс. почасовых записей на ЦОД; 5 лет ≈ 43,8 тыс. Для пула ЦОД — сотни тысяч строк</w:t>
            </w:r>
          </w:p>
        </w:tc>
        <w:tc>
          <w:tcPr>
            <w:tcW w:type="dxa" w:w="1757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OpenMeteo GmbH / метеослужбы</w:t>
            </w:r>
          </w:p>
        </w:tc>
        <w:tc>
          <w:tcPr>
            <w:tcW w:type="dxa" w:w="1701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Historical Weather API по HTTP (координаты, диапазон дат)</w:t>
            </w:r>
          </w:p>
        </w:tc>
        <w:tc>
          <w:tcPr>
            <w:tcW w:type="dxa" w:w="85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24292E"/>
                <w:sz w:val="15"/>
              </w:rPr>
              <w:t>EDA (1-й сем.) / ML (2-й сем.)</w:t>
            </w:r>
          </w:p>
        </w:tc>
      </w:tr>
      <w:tr>
        <w:trPr>
          <w:cantSplit/>
        </w:trPr>
        <w:tc>
          <w:tcPr>
            <w:tcW w:type="dxa" w:w="51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24292E"/>
                <w:sz w:val="15"/>
              </w:rPr>
              <w:t>5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Справочник инфраструктуры клиента (client_infrastructure)</w:t>
            </w:r>
          </w:p>
        </w:tc>
        <w:tc>
          <w:tcPr>
            <w:tcW w:type="dxa" w:w="2891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Координаты ЦОД, доступность, оборудование, энергопотребление серверов, базовый PUE. Перевод EUR/MWh в себестоимость задачи.</w:t>
            </w:r>
          </w:p>
        </w:tc>
        <w:tc>
          <w:tcPr>
            <w:tcW w:type="dxa" w:w="1247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PostgreSQL, CSV/JSON</w:t>
            </w:r>
          </w:p>
        </w:tc>
        <w:tc>
          <w:tcPr>
            <w:tcW w:type="dxa" w:w="1474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Изменяется редко — при добавлении ЦОД и оборудования</w:t>
            </w:r>
          </w:p>
        </w:tc>
        <w:tc>
          <w:tcPr>
            <w:tcW w:type="dxa" w:w="1984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Небольшой справочник: десятки или сотни записей на компанию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Компания-клиент (Infrastructure / DataOps / FinOps)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Внутренняя БД или REST API EcoGrid Flow (не покидает VPC)</w:t>
            </w:r>
          </w:p>
        </w:tc>
        <w:tc>
          <w:tcPr>
            <w:tcW w:type="dxa" w:w="85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07C41"/>
                <w:sz w:val="15"/>
              </w:rPr>
              <w:t>MVP</w:t>
            </w:r>
          </w:p>
        </w:tc>
      </w:tr>
      <w:tr>
        <w:trPr>
          <w:cantSplit/>
        </w:trPr>
        <w:tc>
          <w:tcPr>
            <w:tcW w:type="dxa" w:w="51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24292E"/>
                <w:sz w:val="15"/>
              </w:rPr>
              <w:t>6</w:t>
            </w:r>
          </w:p>
        </w:tc>
        <w:tc>
          <w:tcPr>
            <w:tcW w:type="dxa" w:w="2154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Параметры вычислительной задачи от систем клиента</w:t>
            </w:r>
          </w:p>
        </w:tc>
        <w:tc>
          <w:tcPr>
            <w:tcW w:type="dxa" w:w="2891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Длительность задачи, deadline/SLA, разрешённые энергозоны/ЦОД, профиль мощности. Вход оптимизатора.</w:t>
            </w:r>
          </w:p>
        </w:tc>
        <w:tc>
          <w:tcPr>
            <w:tcW w:type="dxa" w:w="1247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JSON</w:t>
            </w:r>
          </w:p>
        </w:tc>
        <w:tc>
          <w:tcPr>
            <w:tcW w:type="dxa" w:w="1474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По событию — каждый раз при запросе рекомендации</w:t>
            </w:r>
          </w:p>
        </w:tc>
        <w:tc>
          <w:tcPr>
            <w:tcW w:type="dxa" w:w="1984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От единиц до сотен/тысяч запросов в сутки; компактный объём</w:t>
            </w:r>
          </w:p>
        </w:tc>
        <w:tc>
          <w:tcPr>
            <w:tcW w:type="dxa" w:w="1757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DataOps / MLOps компании-клиента</w:t>
            </w:r>
          </w:p>
        </w:tc>
        <w:tc>
          <w:tcPr>
            <w:tcW w:type="dxa" w:w="1701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POST-запрос во внутренний REST API FastAPI (/recommendations)</w:t>
            </w:r>
          </w:p>
        </w:tc>
        <w:tc>
          <w:tcPr>
            <w:tcW w:type="dxa" w:w="85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07C41"/>
                <w:sz w:val="15"/>
              </w:rPr>
              <w:t>MVP</w:t>
            </w:r>
          </w:p>
        </w:tc>
      </w:tr>
      <w:tr>
        <w:trPr>
          <w:cantSplit/>
        </w:trPr>
        <w:tc>
          <w:tcPr>
            <w:tcW w:type="dxa" w:w="51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24292E"/>
                <w:sz w:val="15"/>
              </w:rPr>
              <w:t>7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Внутренние журналы задач и результаты рекомендаций</w:t>
            </w:r>
          </w:p>
        </w:tc>
        <w:tc>
          <w:tcPr>
            <w:tcW w:type="dxa" w:w="2891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История запросов, выбранное окно, ЦОД, расчётная себестоимость, baseline без оптимизации, экономия. Для FinOps-аналитики.</w:t>
            </w:r>
          </w:p>
        </w:tc>
        <w:tc>
          <w:tcPr>
            <w:tcW w:type="dxa" w:w="1247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PostgreSQL, JSON-ответы API</w:t>
            </w:r>
          </w:p>
        </w:tc>
        <w:tc>
          <w:tcPr>
            <w:tcW w:type="dxa" w:w="1474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При каждом расчёте / выполнении задачи</w:t>
            </w:r>
          </w:p>
        </w:tc>
        <w:tc>
          <w:tcPr>
            <w:tcW w:type="dxa" w:w="1984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~1 запись на запрос + логи. При 1 000 задач/сутки — ~365 тыс. бизнес-записей в год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Компания-клиент / EcoGrid Flow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color w:val="24292E"/>
                <w:sz w:val="15"/>
              </w:rPr>
              <w:t>Формируются сервисом в локальной PostgreSQL</w:t>
            </w:r>
          </w:p>
        </w:tc>
        <w:tc>
          <w:tcPr>
            <w:tcW w:type="dxa" w:w="85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07C41"/>
                <w:sz w:val="15"/>
              </w:rPr>
              <w:t>MVP</w:t>
            </w:r>
          </w:p>
        </w:tc>
      </w:tr>
    </w:tbl>
    <w:p>
      <w:pPr>
        <w:sectPr>
          <w:pgSz w:w="16838" w:h="11906" w:orient="landscape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spacing w:before="200" w:after="80"/>
      </w:pPr>
      <w:r>
        <w:rPr>
          <w:rFonts w:ascii="Arial" w:hAnsi="Arial"/>
          <w:b/>
          <w:color w:val="1B365D"/>
          <w:sz w:val="25"/>
        </w:rPr>
        <w:t>2.2. Storage Layer (Хранилище данных)</w:t>
      </w:r>
    </w:p>
    <w:p>
      <w:pPr>
        <w:pStyle w:val="ListBullet"/>
        <w:spacing w:before="20" w:after="40"/>
      </w:pPr>
      <w:r>
        <w:rPr>
          <w:rFonts w:ascii="Arial" w:hAnsi="Arial"/>
          <w:b/>
          <w:sz w:val="19"/>
        </w:rPr>
        <w:t xml:space="preserve">Технологии: </w:t>
      </w:r>
      <w:r>
        <w:rPr>
          <w:rFonts w:ascii="Arial" w:hAnsi="Arial"/>
          <w:sz w:val="19"/>
        </w:rPr>
        <w:t>PostgreSQL с партиционированием таблиц по временным интервалам (timeseries partitioning).</w:t>
      </w:r>
    </w:p>
    <w:p>
      <w:pPr>
        <w:pStyle w:val="ListBullet2"/>
        <w:spacing w:before="20" w:after="40"/>
      </w:pPr>
      <w:r>
        <w:rPr>
          <w:rFonts w:ascii="Consolas" w:hAnsi="Consolas"/>
          <w:b/>
          <w:color w:val="1B365D"/>
          <w:sz w:val="18"/>
        </w:rPr>
        <w:t xml:space="preserve">market_data: </w:t>
      </w:r>
      <w:r>
        <w:rPr>
          <w:rFonts w:ascii="Arial" w:hAnsi="Arial"/>
          <w:sz w:val="19"/>
        </w:rPr>
        <w:t>Временные ряды спотовых тарифов и объёмов генерации по энергозонам.</w:t>
      </w:r>
    </w:p>
    <w:p>
      <w:pPr>
        <w:pStyle w:val="ListBullet2"/>
        <w:spacing w:before="20" w:after="40"/>
      </w:pPr>
      <w:r>
        <w:rPr>
          <w:rFonts w:ascii="Consolas" w:hAnsi="Consolas"/>
          <w:b/>
          <w:color w:val="1B365D"/>
          <w:sz w:val="18"/>
        </w:rPr>
        <w:t xml:space="preserve">weather_data: </w:t>
      </w:r>
      <w:r>
        <w:rPr>
          <w:rFonts w:ascii="Arial" w:hAnsi="Arial"/>
          <w:sz w:val="19"/>
        </w:rPr>
        <w:t>Временные ряды температуры, влажности и скорости ветра в локациях дата-центров.</w:t>
      </w:r>
    </w:p>
    <w:p>
      <w:pPr>
        <w:pStyle w:val="ListBullet2"/>
        <w:spacing w:before="20" w:after="40"/>
      </w:pPr>
      <w:r>
        <w:rPr>
          <w:rFonts w:ascii="Consolas" w:hAnsi="Consolas"/>
          <w:b/>
          <w:color w:val="1B365D"/>
          <w:sz w:val="18"/>
        </w:rPr>
        <w:t xml:space="preserve">client_infrastructure: </w:t>
      </w:r>
      <w:r>
        <w:rPr>
          <w:rFonts w:ascii="Arial" w:hAnsi="Arial"/>
          <w:sz w:val="19"/>
        </w:rPr>
        <w:t>Справочник площадок ЦОД (локация, базовый PUE) и парка оборудования (кВт под нагрузкой).</w:t>
      </w:r>
    </w:p>
    <w:p>
      <w:pPr>
        <w:pStyle w:val="ListBullet2"/>
        <w:spacing w:before="20" w:after="40"/>
      </w:pPr>
      <w:r>
        <w:rPr>
          <w:rFonts w:ascii="Consolas" w:hAnsi="Consolas"/>
          <w:b/>
          <w:color w:val="1B365D"/>
          <w:sz w:val="18"/>
        </w:rPr>
        <w:t xml:space="preserve">task_logs &amp; recommendations: </w:t>
      </w:r>
      <w:r>
        <w:rPr>
          <w:rFonts w:ascii="Arial" w:hAnsi="Arial"/>
          <w:sz w:val="19"/>
        </w:rPr>
        <w:t>Журнал запросов оптимизации, выданных рекомендаций и фактической экономии.</w:t>
      </w:r>
    </w:p>
    <w:p>
      <w:pPr>
        <w:spacing w:before="200" w:after="80"/>
      </w:pPr>
      <w:r>
        <w:rPr>
          <w:rFonts w:ascii="Arial" w:hAnsi="Arial"/>
          <w:b/>
          <w:color w:val="1B365D"/>
          <w:sz w:val="25"/>
        </w:rPr>
        <w:t>2.3. Optimization &amp; ML Engine (Ядро логики)</w:t>
      </w:r>
    </w:p>
    <w:p>
      <w:pPr>
        <w:pStyle w:val="ListBullet"/>
        <w:spacing w:before="20" w:after="40"/>
      </w:pPr>
      <w:r>
        <w:rPr>
          <w:rFonts w:ascii="Arial" w:hAnsi="Arial"/>
          <w:b/>
          <w:sz w:val="19"/>
        </w:rPr>
        <w:t xml:space="preserve">Технологии: </w:t>
      </w:r>
      <w:r>
        <w:rPr>
          <w:rFonts w:ascii="Arial" w:hAnsi="Arial"/>
          <w:sz w:val="19"/>
        </w:rPr>
        <w:t>Python 3.11, Pandas, NumPy, Scikit-learn.</w:t>
      </w:r>
    </w:p>
    <w:p>
      <w:pPr>
        <w:pStyle w:val="ListBullet2"/>
        <w:spacing w:before="20" w:after="40"/>
      </w:pPr>
      <w:r>
        <w:rPr>
          <w:rFonts w:ascii="Arial" w:hAnsi="Arial"/>
          <w:b/>
          <w:sz w:val="19"/>
        </w:rPr>
        <w:t xml:space="preserve">Расчёт динамического PUE: </w:t>
      </w:r>
      <w:r>
        <w:rPr>
          <w:rFonts w:ascii="Arial" w:hAnsi="Arial"/>
          <w:sz w:val="19"/>
        </w:rPr>
        <w:t>корректировка базового коэффициента энергоэффективности оборудования в зависимости от уличной температуры воздуха.</w:t>
      </w:r>
    </w:p>
    <w:p>
      <w:pPr>
        <w:pStyle w:val="ListBullet2"/>
        <w:spacing w:before="20" w:after="40"/>
      </w:pPr>
      <w:r>
        <w:rPr>
          <w:rFonts w:ascii="Arial" w:hAnsi="Arial"/>
          <w:b/>
          <w:sz w:val="19"/>
        </w:rPr>
        <w:t xml:space="preserve">Geo-Arbitrage Engine: </w:t>
      </w:r>
      <w:r>
        <w:rPr>
          <w:rFonts w:ascii="Arial" w:hAnsi="Arial"/>
          <w:sz w:val="19"/>
        </w:rPr>
        <w:t>пространственно-временной арбитраж — сравнение совокупной стоимости вычислений в доступных дата-центрах клиента с учётом почасовых тарифов.</w:t>
      </w:r>
    </w:p>
    <w:p>
      <w:pPr>
        <w:pStyle w:val="ListBullet2"/>
        <w:spacing w:before="20" w:after="40"/>
      </w:pPr>
      <w:r>
        <w:rPr>
          <w:rFonts w:ascii="Arial" w:hAnsi="Arial"/>
          <w:b/>
          <w:sz w:val="19"/>
        </w:rPr>
        <w:t xml:space="preserve">ML-Forecast (2-й семестр): </w:t>
      </w:r>
      <w:r>
        <w:rPr>
          <w:rFonts w:ascii="Arial" w:hAnsi="Arial"/>
          <w:sz w:val="19"/>
        </w:rPr>
        <w:t>прогнозирование спотовых цен и углеродного следа на 3–7 дней вперёд с помощью моделей (XGBoost / Prophet), обученных на 5-летнем историческом архиве.</w:t>
      </w:r>
    </w:p>
    <w:p>
      <w:pPr>
        <w:spacing w:before="200" w:after="80"/>
      </w:pPr>
      <w:r>
        <w:rPr>
          <w:rFonts w:ascii="Arial" w:hAnsi="Arial"/>
          <w:b/>
          <w:color w:val="1B365D"/>
          <w:sz w:val="25"/>
        </w:rPr>
        <w:t>2.4. API Gateway (Бэкенд)</w:t>
      </w:r>
    </w:p>
    <w:p>
      <w:pPr>
        <w:pStyle w:val="ListBullet"/>
        <w:spacing w:before="20" w:after="40"/>
      </w:pPr>
      <w:r>
        <w:rPr>
          <w:rFonts w:ascii="Arial" w:hAnsi="Arial"/>
          <w:b/>
          <w:sz w:val="19"/>
        </w:rPr>
        <w:t xml:space="preserve">Технологии: </w:t>
      </w:r>
      <w:r>
        <w:rPr>
          <w:rFonts w:ascii="Arial" w:hAnsi="Arial"/>
          <w:sz w:val="19"/>
        </w:rPr>
        <w:t>FastAPI, Uvicorn, Pydantic.</w:t>
      </w:r>
    </w:p>
    <w:p>
      <w:pPr>
        <w:pStyle w:val="ListBullet"/>
        <w:spacing w:before="20" w:after="40"/>
      </w:pPr>
      <w:r>
        <w:rPr>
          <w:rFonts w:ascii="Arial" w:hAnsi="Arial"/>
          <w:b/>
          <w:sz w:val="19"/>
        </w:rPr>
        <w:t xml:space="preserve">Назначение: </w:t>
      </w:r>
      <w:r>
        <w:rPr>
          <w:rFonts w:ascii="Arial" w:hAnsi="Arial"/>
          <w:sz w:val="19"/>
        </w:rPr>
        <w:t>защищённый REST API для интеграции с корпоративными планировщиками (Airflow, Kubeflow, Slurm, cron).</w:t>
      </w:r>
    </w:p>
    <w:p>
      <w:pPr>
        <w:pStyle w:val="ListBullet"/>
        <w:spacing w:before="20" w:after="40"/>
      </w:pPr>
      <w:r>
        <w:rPr>
          <w:rFonts w:ascii="Arial" w:hAnsi="Arial"/>
          <w:b/>
          <w:sz w:val="19"/>
        </w:rPr>
        <w:t xml:space="preserve">Формат ответа: </w:t>
      </w:r>
      <w:r>
        <w:rPr>
          <w:rFonts w:ascii="Arial" w:hAnsi="Arial"/>
          <w:sz w:val="19"/>
        </w:rPr>
        <w:t>выдача рекомендаций оптимального окна {start_time, target_datacenter, expected_cost, expected_savings}.</w:t>
      </w:r>
    </w:p>
    <w:p>
      <w:pPr>
        <w:spacing w:before="200" w:after="80"/>
      </w:pPr>
      <w:r>
        <w:rPr>
          <w:rFonts w:ascii="Arial" w:hAnsi="Arial"/>
          <w:b/>
          <w:color w:val="1B365D"/>
          <w:sz w:val="25"/>
        </w:rPr>
        <w:t>2.5. Web UI (Фронтенд)</w:t>
      </w:r>
    </w:p>
    <w:p>
      <w:pPr>
        <w:pStyle w:val="ListBullet"/>
        <w:spacing w:before="20" w:after="40"/>
      </w:pPr>
      <w:r>
        <w:rPr>
          <w:rFonts w:ascii="Arial" w:hAnsi="Arial"/>
          <w:b/>
          <w:sz w:val="19"/>
        </w:rPr>
        <w:t xml:space="preserve">Технологии: </w:t>
      </w:r>
      <w:r>
        <w:rPr>
          <w:rFonts w:ascii="Arial" w:hAnsi="Arial"/>
          <w:sz w:val="19"/>
        </w:rPr>
        <w:t>React, TypeScript, TailwindCSS, Apache ECharts.</w:t>
      </w:r>
    </w:p>
    <w:p>
      <w:pPr>
        <w:pStyle w:val="ListBullet"/>
        <w:spacing w:before="20" w:after="40"/>
      </w:pPr>
      <w:r>
        <w:rPr>
          <w:rFonts w:ascii="Arial" w:hAnsi="Arial"/>
          <w:b/>
          <w:sz w:val="19"/>
        </w:rPr>
        <w:t xml:space="preserve">Интерактивная карта: </w:t>
      </w:r>
      <w:r>
        <w:rPr>
          <w:rFonts w:ascii="Arial" w:hAnsi="Arial"/>
          <w:sz w:val="19"/>
        </w:rPr>
        <w:t>визуализация текущих и прогнозных тарифов по энергозонам присутствия.</w:t>
      </w:r>
    </w:p>
    <w:p>
      <w:pPr>
        <w:pStyle w:val="ListBullet"/>
        <w:spacing w:before="20" w:after="40"/>
      </w:pPr>
      <w:r>
        <w:rPr>
          <w:rFonts w:ascii="Arial" w:hAnsi="Arial"/>
          <w:b/>
          <w:sz w:val="19"/>
        </w:rPr>
        <w:t xml:space="preserve">Графики волатильности: </w:t>
      </w:r>
      <w:r>
        <w:rPr>
          <w:rFonts w:ascii="Arial" w:hAnsi="Arial"/>
          <w:sz w:val="19"/>
        </w:rPr>
        <w:t>детальная динамика цен, погодных условий и выработки ВИЭ.</w:t>
      </w:r>
    </w:p>
    <w:p>
      <w:pPr>
        <w:pStyle w:val="ListBullet"/>
        <w:spacing w:before="20" w:after="40"/>
      </w:pPr>
      <w:r>
        <w:rPr>
          <w:rFonts w:ascii="Arial" w:hAnsi="Arial"/>
          <w:b/>
          <w:sz w:val="19"/>
        </w:rPr>
        <w:t xml:space="preserve">Калькулятор-симулятор: </w:t>
      </w:r>
      <w:r>
        <w:rPr>
          <w:rFonts w:ascii="Arial" w:hAnsi="Arial"/>
          <w:sz w:val="19"/>
        </w:rPr>
        <w:t>инструмент для ручного моделирования затрат на тяжелые пакетные задачи.</w:t>
      </w:r>
    </w:p>
    <w:p>
      <w:pPr>
        <w:pStyle w:val="ListBullet"/>
        <w:spacing w:before="20" w:after="40"/>
      </w:pPr>
      <w:r>
        <w:rPr>
          <w:rFonts w:ascii="Arial" w:hAnsi="Arial"/>
          <w:b/>
          <w:sz w:val="19"/>
        </w:rPr>
        <w:t xml:space="preserve">FinOps-дашборд: </w:t>
      </w:r>
      <w:r>
        <w:rPr>
          <w:rFonts w:ascii="Arial" w:hAnsi="Arial"/>
          <w:sz w:val="19"/>
        </w:rPr>
        <w:t>отчёт об общей экономии бюджета (€) и сокращении углеродного следа (CO₂).</w:t>
      </w:r>
    </w:p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0F2942"/>
          <w:sz w:val="30"/>
        </w:rPr>
        <w:t>3. Схема потоков данных (Data Flow)</w:t>
      </w:r>
    </w:p>
    <w:p>
      <w:pPr>
        <w:spacing w:before="160" w:after="80"/>
      </w:pPr>
      <w:r>
        <w:rPr>
          <w:rFonts w:ascii="Arial" w:hAnsi="Arial"/>
          <w:b/>
          <w:color w:val="1B365D"/>
          <w:sz w:val="24"/>
        </w:rPr>
        <w:t>3.1. Пошаговая последовательность обработки</w:t>
      </w:r>
    </w:p>
    <w:p>
      <w:pPr>
        <w:pStyle w:val="ListNumber"/>
        <w:spacing w:before="20" w:after="40"/>
      </w:pPr>
      <w:r>
        <w:rPr>
          <w:rFonts w:ascii="Arial" w:hAnsi="Arial"/>
          <w:b/>
          <w:sz w:val="19"/>
        </w:rPr>
        <w:t xml:space="preserve">1. Внешний мир: </w:t>
      </w:r>
      <w:r>
        <w:rPr>
          <w:rFonts w:ascii="Arial" w:hAnsi="Arial"/>
          <w:sz w:val="19"/>
        </w:rPr>
        <w:t>Биржи электроэнергии (ENTSO-E) и метеослужбы (Open-Meteo) публикуют суточные прогнозы и исторические архивы.</w:t>
      </w:r>
    </w:p>
    <w:p>
      <w:pPr>
        <w:pStyle w:val="ListNumber"/>
        <w:spacing w:before="20" w:after="40"/>
      </w:pPr>
      <w:r>
        <w:rPr>
          <w:rFonts w:ascii="Arial" w:hAnsi="Arial"/>
          <w:b/>
          <w:sz w:val="19"/>
        </w:rPr>
        <w:t xml:space="preserve">2. Сбор (ETL): </w:t>
      </w:r>
      <w:r>
        <w:rPr>
          <w:rFonts w:ascii="Arial" w:hAnsi="Arial"/>
          <w:sz w:val="19"/>
        </w:rPr>
        <w:t>Фоновые воркеры забирают данные, проводят Data Quality валидацию, очищают их и сохраняют в PostgreSQL.</w:t>
      </w:r>
    </w:p>
    <w:p>
      <w:pPr>
        <w:pStyle w:val="ListNumber"/>
        <w:spacing w:before="20" w:after="40"/>
      </w:pPr>
      <w:r>
        <w:rPr>
          <w:rFonts w:ascii="Arial" w:hAnsi="Arial"/>
          <w:b/>
          <w:sz w:val="19"/>
        </w:rPr>
        <w:t xml:space="preserve">3. Запрос на оптимизацию: </w:t>
      </w:r>
      <w:r>
        <w:rPr>
          <w:rFonts w:ascii="Arial" w:hAnsi="Arial"/>
          <w:sz w:val="19"/>
        </w:rPr>
        <w:t>Оркестратор задач клиента (Airflow / DataOps) отправляет POST-запрос в FastAPI Gateway: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insideH w:val="none"/>
          <w:insideV w:val="none"/>
          <w:left w:val="single" w:sz="12" w:space="0" w:color="6C757D"/>
          <w:right w:val="none"/>
        </w:tblBorders>
      </w:tblPr>
      <w:tblGrid>
        <w:gridCol w:w="9638"/>
      </w:tblGrid>
      <w:tr>
        <w:tc>
          <w:tcPr>
            <w:tcW w:type="dxa" w:w="9354"/>
            <w:shd w:fill="F8F9FA"/>
            <w:tcMar>
              <w:top w:w="100" w:type="dxa"/>
              <w:bottom w:w="100" w:type="dxa"/>
              <w:left w:w="16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C757D"/>
                <w:sz w:val="17"/>
              </w:rPr>
              <w:t>// Входной payload запроса (POST /recommendations)</w:t>
              <w:br/>
            </w:r>
            <w:r>
              <w:rPr>
                <w:rFonts w:ascii="Consolas" w:hAnsi="Consolas"/>
                <w:color w:val="24292E"/>
                <w:sz w:val="17"/>
              </w:rPr>
              <w:t>{</w:t>
              <w:br/>
              <w:t xml:space="preserve">  "task_name": "LLM-Fine-Tuning",</w:t>
              <w:br/>
              <w:t xml:space="preserve">  "task_duration_hours": 5,</w:t>
              <w:br/>
              <w:t xml:space="preserve">  "deadline": "2026-11-10T09:00:00Z",</w:t>
              <w:br/>
              <w:t xml:space="preserve">  "power_consumption_kw": 120,</w:t>
              <w:br/>
              <w:t xml:space="preserve">  "allowed_regions": ["DE", "FI", "SE"]</w:t>
              <w:br/>
              <w:t>}</w:t>
            </w:r>
          </w:p>
        </w:tc>
      </w:tr>
    </w:tbl>
    <w:p>
      <w:pPr>
        <w:pStyle w:val="ListNumber"/>
        <w:spacing w:before="40" w:after="40"/>
      </w:pPr>
      <w:r>
        <w:rPr>
          <w:rFonts w:ascii="Arial" w:hAnsi="Arial"/>
          <w:b/>
          <w:sz w:val="19"/>
        </w:rPr>
        <w:t xml:space="preserve">4. Расчёт оптимизатора: </w:t>
      </w:r>
      <w:r>
        <w:rPr>
          <w:rFonts w:ascii="Arial" w:hAnsi="Arial"/>
          <w:sz w:val="19"/>
        </w:rPr>
        <w:t>Движок сканирует тарифы в разрешённых регионах, корректирует потребление на динамический PUE (уличная температура), применяет ML-прогноз цен при дедлайне &gt; 24ч.</w:t>
      </w:r>
    </w:p>
    <w:p>
      <w:pPr>
        <w:pStyle w:val="ListNumber"/>
        <w:spacing w:before="40" w:after="40"/>
      </w:pPr>
      <w:r>
        <w:rPr>
          <w:rFonts w:ascii="Arial" w:hAnsi="Arial"/>
          <w:b/>
          <w:sz w:val="19"/>
        </w:rPr>
        <w:t xml:space="preserve">5. Ответ сервиса: </w:t>
      </w:r>
      <w:r>
        <w:rPr>
          <w:rFonts w:ascii="Arial" w:hAnsi="Arial"/>
          <w:sz w:val="19"/>
        </w:rPr>
        <w:t>API возвращает JSON с оптимальным дата-центром, временным слотом запуска и оценкой экономии: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insideH w:val="none"/>
          <w:insideV w:val="none"/>
          <w:left w:val="single" w:sz="12" w:space="0" w:color="6C757D"/>
          <w:right w:val="none"/>
        </w:tblBorders>
      </w:tblPr>
      <w:tblGrid>
        <w:gridCol w:w="9638"/>
      </w:tblGrid>
      <w:tr>
        <w:tc>
          <w:tcPr>
            <w:tcW w:type="dxa" w:w="9354"/>
            <w:shd w:fill="F8F9FA"/>
            <w:tcMar>
              <w:top w:w="100" w:type="dxa"/>
              <w:bottom w:w="100" w:type="dxa"/>
              <w:left w:w="16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C757D"/>
                <w:sz w:val="17"/>
              </w:rPr>
              <w:t>// Выходной JSON-ответ оптимизатора</w:t>
              <w:br/>
            </w:r>
            <w:r>
              <w:rPr>
                <w:rFonts w:ascii="Consolas" w:hAnsi="Consolas"/>
                <w:color w:val="24292E"/>
                <w:sz w:val="17"/>
              </w:rPr>
              <w:t>{</w:t>
              <w:br/>
              <w:t xml:space="preserve">  "task_name": "LLM-Fine-Tuning",</w:t>
              <w:br/>
              <w:t xml:space="preserve">  "recommended_start_time": "2026-11-09T23:00:00Z",</w:t>
              <w:br/>
              <w:t xml:space="preserve">  "target_datacenter": "FI-HELSINKI-01",</w:t>
              <w:br/>
              <w:t xml:space="preserve">  "region": "FI",</w:t>
              <w:br/>
              <w:t xml:space="preserve">  "expected_cost_eur": 42.50,</w:t>
              <w:br/>
              <w:t xml:space="preserve">  "baseline_cost_eur": 89.20,</w:t>
              <w:br/>
              <w:t xml:space="preserve">  "estimated_savings_percent": 52.35</w:t>
              <w:br/>
              <w:t>}</w:t>
            </w:r>
          </w:p>
        </w:tc>
      </w:tr>
    </w:tbl>
    <w:p>
      <w:pPr>
        <w:pStyle w:val="ListNumber"/>
        <w:spacing w:before="40" w:after="80"/>
      </w:pPr>
      <w:r>
        <w:rPr>
          <w:rFonts w:ascii="Arial" w:hAnsi="Arial"/>
          <w:b/>
          <w:sz w:val="19"/>
        </w:rPr>
        <w:t xml:space="preserve">6. Визуализация и отчётность: </w:t>
      </w:r>
      <w:r>
        <w:rPr>
          <w:rFonts w:ascii="Arial" w:hAnsi="Arial"/>
          <w:sz w:val="19"/>
        </w:rPr>
        <w:t>Руководитель или FinOps-специалист открывает веб-портал и видит сводные отчёты сэкономленных денег (€) и сокращения выбросов CO₂.</w:t>
      </w:r>
    </w:p>
    <w:p>
      <w:pPr>
        <w:spacing w:before="240" w:after="80"/>
      </w:pPr>
      <w:r>
        <w:rPr>
          <w:rFonts w:ascii="Arial" w:hAnsi="Arial"/>
          <w:b/>
          <w:color w:val="1B365D"/>
          <w:sz w:val="24"/>
        </w:rPr>
        <w:t>3.2. Диаграмма взаимодействия компонентов (Sequence Diagram)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70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7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Arial" w:hAnsi="Arial"/>
          <w:i/>
          <w:color w:val="6E7781"/>
          <w:sz w:val="17"/>
        </w:rPr>
        <w:t>Рисунок 2 — Диаграмма взаимодействия компонентов и контуров потоков данных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8C959F"/>
        <w:sz w:val="17"/>
      </w:rPr>
      <w:t>Конфиденциально • Внутренний аналитический контур компании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8C959F"/>
        <w:sz w:val="17"/>
      </w:rPr>
      <w:t>EcoGrid Flow | Архитектура аналитического сервиса</w:t>
    </w:r>
    <w:r>
      <w:rPr>
        <w:rFonts w:ascii="Arial" w:hAnsi="Arial"/>
        <w:color w:val="8C959F"/>
        <w:sz w:val="17"/>
      </w:rPr>
      <w:t>EcoGrid Flow | Каталог источников данных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