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Arial" w:hAnsi="Arial"/>
          <w:b/>
          <w:color w:val="0F2942"/>
          <w:sz w:val="44"/>
        </w:rPr>
        <w:t>Архитектура проекта EcoGrid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4819"/>
        <w:gridCol w:w="4819"/>
      </w:tblGrid>
      <w:tr>
        <w:tc>
          <w:tcPr>
            <w:tcW w:type="dxa" w:w="2551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9"/>
              </w:rPr>
              <w:t>Тип системы</w:t>
            </w:r>
          </w:p>
        </w:tc>
        <w:tc>
          <w:tcPr>
            <w:tcW w:type="dxa" w:w="680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On-Premise Аналитический B2B-сервис</w:t>
            </w:r>
          </w:p>
        </w:tc>
      </w:tr>
      <w:tr>
        <w:tc>
          <w:tcPr>
            <w:tcW w:type="dxa" w:w="2551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19"/>
              </w:rPr>
              <w:t>Стек технологий</w:t>
            </w:r>
          </w:p>
        </w:tc>
        <w:tc>
          <w:tcPr>
            <w:tcW w:type="dxa" w:w="680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333333"/>
                <w:sz w:val="19"/>
              </w:rPr>
              <w:t>Python 3.11, FastAPI, React, PostgreSQL, Docker Compose, ML (XGBoost / Prophet во 2-м семестре)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F2942"/>
          <w:sz w:val="30"/>
        </w:rPr>
        <w:t>1. Концепция развертывания (On-Premise)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single" w:sz="24" w:space="0" w:color="1B365D"/>
          <w:right w:val="none"/>
        </w:tblBorders>
      </w:tblPr>
      <w:tblGrid>
        <w:gridCol w:w="9638"/>
      </w:tblGrid>
      <w:tr>
        <w:tc>
          <w:tcPr>
            <w:tcW w:type="dxa" w:w="9354"/>
            <w:shd w:fill="F0F4F8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B365D"/>
                <w:sz w:val="21"/>
              </w:rPr>
              <w:t>🛡️ Принцип изоляции корпоративных данных</w:t>
              <w:br/>
            </w:r>
            <w:r>
              <w:rPr>
                <w:rFonts w:ascii="Arial" w:hAnsi="Arial"/>
                <w:color w:val="333333"/>
                <w:sz w:val="19"/>
              </w:rPr>
              <w:t>Сервис поставляется как Docker-композиция и разворачивается в закрытом сетевом контуре (VPC) компании-клиента. Это гарантирует безопасность корпоративных данных (списки дата-центров, характеристики оборудования, внутренние логи задач) — они никогда не покидают периметр компании. Сервис обращается во внешний интернет исключительно для загрузки публичных котировок электроэнергии и прогноза погоды.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0F2942"/>
          <w:sz w:val="30"/>
        </w:rPr>
        <w:t>2. Компоненты системы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9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9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E7781"/>
          <w:sz w:val="17"/>
        </w:rPr>
        <w:t>Рисунок 1 — Архитектурная схема компонентов и контуров EcoGrid Flow</w:t>
      </w:r>
    </w:p>
    <w:p>
      <w:pPr>
        <w:spacing w:before="200" w:after="80"/>
      </w:pPr>
      <w:r>
        <w:rPr>
          <w:rFonts w:ascii="Arial" w:hAnsi="Arial"/>
          <w:b/>
          <w:color w:val="1B365D"/>
          <w:sz w:val="25"/>
        </w:rPr>
        <w:t>2.1. Ingestion Layer (Сбор данных)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Технологии: </w:t>
      </w:r>
      <w:r>
        <w:rPr>
          <w:rFonts w:ascii="Arial" w:hAnsi="Arial"/>
          <w:sz w:val="19"/>
        </w:rPr>
        <w:t>APScheduler / Celery Workers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Автоматическая синхронизация: </w:t>
      </w:r>
      <w:r>
        <w:rPr>
          <w:rFonts w:ascii="Arial" w:hAnsi="Arial"/>
          <w:sz w:val="19"/>
        </w:rPr>
        <w:t>загрузка данных по расписанию и событиям.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Отказоустойчивость: </w:t>
      </w:r>
      <w:r>
        <w:rPr>
          <w:rFonts w:ascii="Arial" w:hAnsi="Arial"/>
          <w:sz w:val="19"/>
        </w:rPr>
        <w:t>обработка сетевых ошибок, таймаутов и автоматические повторные попытки (retry-политики).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Data Quality валидация: </w:t>
      </w:r>
      <w:r>
        <w:rPr>
          <w:rFonts w:ascii="Arial" w:hAnsi="Arial"/>
          <w:sz w:val="19"/>
        </w:rPr>
        <w:t>предварительная проверка пропусков, выбросов и аномалий перед записью в базу данных.</w:t>
      </w:r>
    </w:p>
    <w:p>
      <w:pPr>
        <w:spacing w:after="8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spacing w:before="80" w:after="60"/>
      </w:pPr>
      <w:r>
        <w:rPr>
          <w:rFonts w:ascii="Arial" w:hAnsi="Arial"/>
          <w:b/>
          <w:color w:val="0F2942"/>
          <w:sz w:val="26"/>
        </w:rPr>
        <w:t>Таблица 1 — Каталог источников данных EcoGrid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single" w:sz="24" w:space="0" w:color="107C41"/>
          <w:right w:val="none"/>
        </w:tblBorders>
      </w:tblPr>
      <w:tblGrid>
        <w:gridCol w:w="14798"/>
      </w:tblGrid>
      <w:tr>
        <w:tc>
          <w:tcPr>
            <w:tcW w:type="dxa" w:w="9354"/>
            <w:shd w:fill="F4F9F4"/>
            <w:tcMar>
              <w:top w:w="140" w:type="dxa"/>
              <w:bottom w:w="140" w:type="dxa"/>
              <w:left w:w="200" w:type="dxa"/>
              <w:right w:w="180" w:type="dxa"/>
            </w:tcMar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107C41"/>
                <w:sz w:val="21"/>
              </w:rPr>
              <w:t>💡 Проектная оценка объёмов (MVP)</w:t>
              <w:br/>
            </w:r>
            <w:r>
              <w:rPr>
                <w:rFonts w:ascii="Arial" w:hAnsi="Arial"/>
                <w:color w:val="333333"/>
                <w:sz w:val="19"/>
              </w:rPr>
              <w:t>Каталог фиксирует внешние и внутренние источники данных, необходимые аналитическому сервису. Объёмы ниже являются проектной оценкой для MVP и служат для расчёта нагрузки на ETL и PostgreSQL. Фактический объём будет уточняться после подключения API и выбора окончательного набора энергозон и ЦОД.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rPr>
          <w:tblHeader/>
        </w:trPr>
        <w:tc>
          <w:tcPr>
            <w:tcW w:type="dxa" w:w="51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15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Источник данных</w:t>
            </w:r>
          </w:p>
        </w:tc>
        <w:tc>
          <w:tcPr>
            <w:tcW w:type="dxa" w:w="2891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Какие данные используются / назначение</w:t>
            </w:r>
          </w:p>
        </w:tc>
        <w:tc>
          <w:tcPr>
            <w:tcW w:type="dxa" w:w="124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Формат</w:t>
            </w:r>
          </w:p>
        </w:tc>
        <w:tc>
          <w:tcPr>
            <w:tcW w:type="dxa" w:w="147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Частота</w:t>
            </w:r>
          </w:p>
        </w:tc>
        <w:tc>
          <w:tcPr>
            <w:tcW w:type="dxa" w:w="1984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Ожидаемый объём</w:t>
            </w:r>
          </w:p>
        </w:tc>
        <w:tc>
          <w:tcPr>
            <w:tcW w:type="dxa" w:w="175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Владелец / ответственный</w:t>
            </w:r>
          </w:p>
        </w:tc>
        <w:tc>
          <w:tcPr>
            <w:tcW w:type="dxa" w:w="1701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Способ доступа</w:t>
            </w:r>
          </w:p>
        </w:tc>
        <w:tc>
          <w:tcPr>
            <w:tcW w:type="dxa" w:w="85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1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ENTSO-E Transparency Platform — Day-Ahead Prices</w:t>
            </w:r>
          </w:p>
        </w:tc>
        <w:tc>
          <w:tcPr>
            <w:tcW w:type="dxa" w:w="289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Спотовые цены на электроэнергию по энергозонам. Основной источник для расчёта стоимости выполнения вычислительной задачи и выбора дешёвого временного окна.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XML, timestamp, энергозона, цена EUR/MWh</w:t>
            </w:r>
          </w:p>
        </w:tc>
        <w:tc>
          <w:tcPr>
            <w:tcW w:type="dxa" w:w="147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Автоматическая загрузка после публикации Day-Ahead данных; не реже 1 раза в сутки с повторной проверкой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При 15-мин разрешении — до 96 знач./сутки на зону. Для 3–5 зон: ~288–480 записей/сутки (105–175 тыс./год)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ENTSO-E Transparency Platform / европейские TSO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REST/Web API по HTTPS, авторизация через Security Token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51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2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ENTSO-E Transparency Platform — Generation / Energy Mix</w:t>
            </w:r>
          </w:p>
        </w:tc>
        <w:tc>
          <w:tcPr>
            <w:tcW w:type="dxa" w:w="289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Данные о производстве электроэнергии и структуре генерации по зонам. Для аналитики энергорынка и оценки углеродной интенсивности.</w:t>
            </w:r>
          </w:p>
        </w:tc>
        <w:tc>
          <w:tcPr>
            <w:tcW w:type="dxa" w:w="124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XML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Синхронизация несколько раз в сутки по мере публикации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Сотни записей в сутки для выбранных энергозон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ENTSO-E / национальные TSO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REST/Web API по HTTPS с Security Token</w:t>
            </w:r>
          </w:p>
        </w:tc>
        <w:tc>
          <w:tcPr>
            <w:tcW w:type="dxa" w:w="85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Open-Meteo Forecast API</w:t>
            </w:r>
          </w:p>
        </w:tc>
        <w:tc>
          <w:tcPr>
            <w:tcW w:type="dxa" w:w="289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Прогноз температуры, ветра, влажности около ЦОД. Температура используется для расчёта динамического PUE и затрат на охлаждение.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JSON, CSV/XLSX</w:t>
            </w:r>
          </w:p>
        </w:tc>
        <w:tc>
          <w:tcPr>
            <w:tcW w:type="dxa" w:w="147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Синхронизация каждые 3–6 часов или по новому прогнозу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Для 1 ЦОД: 24 записи/сутки на параметр. Для 3–5 ЦОД — сотни значений/сутки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OpenMeteo GmbH (DWD, ECMWF, NOAA)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HTTP GET API по координатам ЦОД (без ключа для прототипа)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51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4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Open-Meteo Historical Weather API</w:t>
            </w:r>
          </w:p>
        </w:tc>
        <w:tc>
          <w:tcPr>
            <w:tcW w:type="dxa" w:w="289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Исторические температура, ветер и метеопоказатели. Для EDA (исследование влияния погоды на PUE) и признаков ML-модели.</w:t>
            </w:r>
          </w:p>
        </w:tc>
        <w:tc>
          <w:tcPr>
            <w:tcW w:type="dxa" w:w="124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JSON, CSV/XLSX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Разовая первичная загрузка за 3–5 лет; периодическое дозаполнение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3 года ≈ 26,3 тыс. почасовых записей на ЦОД; 5 лет ≈ 43,8 тыс. Для пула ЦОД — сотни тысяч строк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OpenMeteo GmbH / метеослужбы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Historical Weather API по HTTP (координаты, диапазон дат)</w:t>
            </w:r>
          </w:p>
        </w:tc>
        <w:tc>
          <w:tcPr>
            <w:tcW w:type="dxa" w:w="85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EDA (1-й сем.) / ML (2-й сем.)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5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Справочник инфраструктуры клиента (client_infrastructure)</w:t>
            </w:r>
          </w:p>
        </w:tc>
        <w:tc>
          <w:tcPr>
            <w:tcW w:type="dxa" w:w="289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Координаты ЦОД, доступность, оборудование, энергопотребление серверов, базовый PUE. Перевод EUR/MWh в себестоимость задачи.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PostgreSQL, CSV/JSON</w:t>
            </w:r>
          </w:p>
        </w:tc>
        <w:tc>
          <w:tcPr>
            <w:tcW w:type="dxa" w:w="147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Изменяется редко — при добавлении ЦОД и оборудования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Небольшой справочник: десятки или сотни записей на компанию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Компания-клиент (Infrastructure / DataOps / FinOps)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Внутренняя БД или REST API EcoGrid Flow (не покидает VPC)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51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6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Параметры вычислительной задачи от систем клиента</w:t>
            </w:r>
          </w:p>
        </w:tc>
        <w:tc>
          <w:tcPr>
            <w:tcW w:type="dxa" w:w="289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Длительность задачи, deadline/SLA, разрешённые энергозоны/ЦОД, профиль мощности. Вход оптимизатора.</w:t>
            </w:r>
          </w:p>
        </w:tc>
        <w:tc>
          <w:tcPr>
            <w:tcW w:type="dxa" w:w="124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JSON</w:t>
            </w:r>
          </w:p>
        </w:tc>
        <w:tc>
          <w:tcPr>
            <w:tcW w:type="dxa" w:w="147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По событию — каждый раз при запросе рекомендации</w:t>
            </w:r>
          </w:p>
        </w:tc>
        <w:tc>
          <w:tcPr>
            <w:tcW w:type="dxa" w:w="1984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От единиц до сотен/тысяч запросов в сутки; компактный объём</w:t>
            </w:r>
          </w:p>
        </w:tc>
        <w:tc>
          <w:tcPr>
            <w:tcW w:type="dxa" w:w="1757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DataOps / MLOps компании-клиента</w:t>
            </w:r>
          </w:p>
        </w:tc>
        <w:tc>
          <w:tcPr>
            <w:tcW w:type="dxa" w:w="1701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POST-запрос во внутренний REST API FastAPI (/recommendations)</w:t>
            </w:r>
          </w:p>
        </w:tc>
        <w:tc>
          <w:tcPr>
            <w:tcW w:type="dxa" w:w="850"/>
            <w:shd w:fill="F8FAFC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51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24292E"/>
                <w:sz w:val="15"/>
              </w:rPr>
              <w:t>7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Внутренние журналы задач и результаты рекомендаций</w:t>
            </w:r>
          </w:p>
        </w:tc>
        <w:tc>
          <w:tcPr>
            <w:tcW w:type="dxa" w:w="289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История запросов, выбранное окно, ЦОД, расчётная себестоимость, baseline без оптимизации, экономия. Для FinOps-аналитики.</w:t>
            </w:r>
          </w:p>
        </w:tc>
        <w:tc>
          <w:tcPr>
            <w:tcW w:type="dxa" w:w="124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PostgreSQL, JSON-ответы API</w:t>
            </w:r>
          </w:p>
        </w:tc>
        <w:tc>
          <w:tcPr>
            <w:tcW w:type="dxa" w:w="147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При каждом расчёте / выполнении задачи</w:t>
            </w:r>
          </w:p>
        </w:tc>
        <w:tc>
          <w:tcPr>
            <w:tcW w:type="dxa" w:w="1984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~1 запись на запрос + логи. При 1 000 задач/сутки — ~365 тыс. бизнес-записей в год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Компания-клиент / EcoGrid Flow</w:t>
            </w:r>
          </w:p>
        </w:tc>
        <w:tc>
          <w:tcPr>
            <w:tcW w:type="dxa" w:w="1701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color w:val="24292E"/>
                <w:sz w:val="15"/>
              </w:rPr>
              <w:t>Формируются сервисом в локальной PostgreSQL</w:t>
            </w:r>
          </w:p>
        </w:tc>
        <w:tc>
          <w:tcPr>
            <w:tcW w:type="dxa" w:w="850"/>
            <w:shd w:fill="FFFFFF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07C41"/>
                <w:sz w:val="15"/>
              </w:rPr>
              <w:t>MVP</w:t>
            </w:r>
          </w:p>
        </w:tc>
      </w:tr>
    </w:tbl>
    <w:p>
      <w:pPr>
        <w:sectPr>
          <w:pgSz w:w="16838" w:h="11906" w:orient="landscape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spacing w:before="200" w:after="80"/>
      </w:pPr>
      <w:r>
        <w:rPr>
          <w:rFonts w:ascii="Arial" w:hAnsi="Arial"/>
          <w:b/>
          <w:color w:val="1B365D"/>
          <w:sz w:val="25"/>
        </w:rPr>
        <w:t>2.2. Storage Layer (Хранилище данных)</w:t>
      </w:r>
    </w:p>
    <w:p>
      <w:pPr>
        <w:pStyle w:val="ListBullet"/>
      </w:pPr>
      <w:r>
        <w:t>Технологии: PostgreSQL 16 с обязательным партиционированием таблиц временных рядов по временным интервалам.</w:t>
      </w:r>
    </w:p>
    <w:p>
      <w:pPr>
        <w:pStyle w:val="ListBullet"/>
      </w:pPr>
      <w:r>
        <w:t>Схема хранения данных (в соответствии со спецификацией PreColumns.md):</w:t>
      </w:r>
    </w:p>
    <w:p>
      <w:r>
        <w:rPr>
          <w:b/>
        </w:rPr>
        <w:t>1. Таблица спотовых цен: market_day_ahead_prices (ENTSO-E Day-Ahead Prices)</w:t>
      </w:r>
    </w:p>
    <w:p>
      <w:r>
        <w:rPr>
          <w:i/>
        </w:rPr>
        <w:t>Назначение: спотовые цены на электроэнергию по энергозонам. Партиционирование: RANGE по period_start (1 месяц).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bidding_zone</w:t>
            </w:r>
          </w:p>
        </w:tc>
        <w:tc>
          <w:tcPr>
            <w:tcW w:type="dxa" w:w="3213"/>
          </w:tcPr>
          <w:p>
            <w:r>
              <w:t>Энергозона</w:t>
            </w:r>
          </w:p>
        </w:tc>
        <w:tc>
          <w:tcPr>
            <w:tcW w:type="dxa" w:w="3213"/>
          </w:tcPr>
          <w:p>
            <w:r>
              <w:t>По нему сравниваем географические локации</w:t>
            </w:r>
          </w:p>
        </w:tc>
      </w:tr>
      <w:tr>
        <w:tc>
          <w:tcPr>
            <w:tcW w:type="dxa" w:w="3213"/>
          </w:tcPr>
          <w:p>
            <w:r>
              <w:t>period_start</w:t>
            </w:r>
          </w:p>
        </w:tc>
        <w:tc>
          <w:tcPr>
            <w:tcW w:type="dxa" w:w="3213"/>
          </w:tcPr>
          <w:p>
            <w:r>
              <w:t>Начало ценового интервала</w:t>
            </w:r>
          </w:p>
        </w:tc>
        <w:tc>
          <w:tcPr>
            <w:tcW w:type="dxa" w:w="3213"/>
          </w:tcPr>
          <w:p>
            <w:r>
              <w:t>Начало интервала, для которого действует цена</w:t>
            </w:r>
          </w:p>
        </w:tc>
      </w:tr>
      <w:tr>
        <w:tc>
          <w:tcPr>
            <w:tcW w:type="dxa" w:w="3213"/>
          </w:tcPr>
          <w:p>
            <w:r>
              <w:t>period_end</w:t>
            </w:r>
          </w:p>
        </w:tc>
        <w:tc>
          <w:tcPr>
            <w:tcW w:type="dxa" w:w="3213"/>
          </w:tcPr>
          <w:p>
            <w:r>
              <w:t>Конец ценового интервала</w:t>
            </w:r>
          </w:p>
        </w:tc>
        <w:tc>
          <w:tcPr>
            <w:tcW w:type="dxa" w:w="3213"/>
          </w:tcPr>
          <w:p>
            <w:r>
              <w:t>Конец ценового интервала</w:t>
            </w:r>
          </w:p>
        </w:tc>
      </w:tr>
      <w:tr>
        <w:tc>
          <w:tcPr>
            <w:tcW w:type="dxa" w:w="3213"/>
          </w:tcPr>
          <w:p>
            <w:r>
              <w:t>price</w:t>
            </w:r>
          </w:p>
        </w:tc>
        <w:tc>
          <w:tcPr>
            <w:tcW w:type="dxa" w:w="3213"/>
          </w:tcPr>
          <w:p>
            <w:r>
              <w:t>Цена</w:t>
            </w:r>
          </w:p>
        </w:tc>
        <w:tc>
          <w:tcPr>
            <w:tcW w:type="dxa" w:w="3213"/>
          </w:tcPr>
          <w:p>
            <w:r>
              <w:t>Цена электроэнергии — основной показатель оптимизации</w:t>
            </w:r>
          </w:p>
        </w:tc>
      </w:tr>
      <w:tr>
        <w:tc>
          <w:tcPr>
            <w:tcW w:type="dxa" w:w="3213"/>
          </w:tcPr>
          <w:p>
            <w:r>
              <w:t>currency</w:t>
            </w:r>
          </w:p>
        </w:tc>
        <w:tc>
          <w:tcPr>
            <w:tcW w:type="dxa" w:w="3213"/>
          </w:tcPr>
          <w:p>
            <w:r>
              <w:t>Валюта</w:t>
            </w:r>
          </w:p>
        </w:tc>
        <w:tc>
          <w:tcPr>
            <w:tcW w:type="dxa" w:w="3213"/>
          </w:tcPr>
          <w:p>
            <w:r>
              <w:t>Валюта цены, например EUR</w:t>
            </w:r>
          </w:p>
        </w:tc>
      </w:tr>
      <w:tr>
        <w:tc>
          <w:tcPr>
            <w:tcW w:type="dxa" w:w="3213"/>
          </w:tcPr>
          <w:p>
            <w:r>
              <w:t>price_unit</w:t>
            </w:r>
          </w:p>
        </w:tc>
        <w:tc>
          <w:tcPr>
            <w:tcW w:type="dxa" w:w="3213"/>
          </w:tcPr>
          <w:p>
            <w:r>
              <w:t>Единица измерения цены</w:t>
            </w:r>
          </w:p>
        </w:tc>
        <w:tc>
          <w:tcPr>
            <w:tcW w:type="dxa" w:w="3213"/>
          </w:tcPr>
          <w:p>
            <w:r>
              <w:t>На какую единицу измерения указана цена (например МВт)</w:t>
            </w:r>
          </w:p>
        </w:tc>
      </w:tr>
      <w:tr>
        <w:tc>
          <w:tcPr>
            <w:tcW w:type="dxa" w:w="3213"/>
          </w:tcPr>
          <w:p>
            <w:r>
              <w:t>resolution</w:t>
            </w:r>
          </w:p>
        </w:tc>
        <w:tc>
          <w:tcPr>
            <w:tcW w:type="dxa" w:w="3213"/>
          </w:tcPr>
          <w:p>
            <w:r>
              <w:t>Шаг временного ряда</w:t>
            </w:r>
          </w:p>
        </w:tc>
        <w:tc>
          <w:tcPr>
            <w:tcW w:type="dxa" w:w="3213"/>
          </w:tcPr>
          <w:p>
            <w:r>
              <w:t>Шаг временного ряда, например PT60M или PT15M</w:t>
            </w:r>
          </w:p>
        </w:tc>
      </w:tr>
    </w:tbl>
    <w:p/>
    <w:p>
      <w:r>
        <w:rPr>
          <w:b/>
        </w:rPr>
        <w:t>2. Таблица генерации и энергобаланса: market_generation_mix (ENTSO-E Generation / Energy Mix)</w:t>
      </w:r>
    </w:p>
    <w:p>
      <w:r>
        <w:rPr>
          <w:i/>
        </w:rPr>
        <w:t>Назначение: данные о производстве электроэнергии и структуре генерации по зонам. Партиционирование: RANGE по period_start (1 месяц).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bidding_zone</w:t>
            </w:r>
          </w:p>
        </w:tc>
        <w:tc>
          <w:tcPr>
            <w:tcW w:type="dxa" w:w="3213"/>
          </w:tcPr>
          <w:p>
            <w:r>
              <w:t>Энергозона</w:t>
            </w:r>
          </w:p>
        </w:tc>
        <w:tc>
          <w:tcPr>
            <w:tcW w:type="dxa" w:w="3213"/>
          </w:tcPr>
          <w:p>
            <w:r>
              <w:t>Энергозона, к которой относится генерация</w:t>
            </w:r>
          </w:p>
        </w:tc>
      </w:tr>
      <w:tr>
        <w:tc>
          <w:tcPr>
            <w:tcW w:type="dxa" w:w="3213"/>
          </w:tcPr>
          <w:p>
            <w:r>
              <w:t>period_start</w:t>
            </w:r>
          </w:p>
        </w:tc>
        <w:tc>
          <w:tcPr>
            <w:tcW w:type="dxa" w:w="3213"/>
          </w:tcPr>
          <w:p>
            <w:r>
              <w:t>Начало измерения</w:t>
            </w:r>
          </w:p>
        </w:tc>
        <w:tc>
          <w:tcPr>
            <w:tcW w:type="dxa" w:w="3213"/>
          </w:tcPr>
          <w:p>
            <w:r>
              <w:t>Начало интервала измерения</w:t>
            </w:r>
          </w:p>
        </w:tc>
      </w:tr>
      <w:tr>
        <w:tc>
          <w:tcPr>
            <w:tcW w:type="dxa" w:w="3213"/>
          </w:tcPr>
          <w:p>
            <w:r>
              <w:t>period_end</w:t>
            </w:r>
          </w:p>
        </w:tc>
        <w:tc>
          <w:tcPr>
            <w:tcW w:type="dxa" w:w="3213"/>
          </w:tcPr>
          <w:p>
            <w:r>
              <w:t>Конец измерения</w:t>
            </w:r>
          </w:p>
        </w:tc>
        <w:tc>
          <w:tcPr>
            <w:tcW w:type="dxa" w:w="3213"/>
          </w:tcPr>
          <w:p>
            <w:r>
              <w:t>Конец интервала</w:t>
            </w:r>
          </w:p>
        </w:tc>
      </w:tr>
      <w:tr>
        <w:tc>
          <w:tcPr>
            <w:tcW w:type="dxa" w:w="3213"/>
          </w:tcPr>
          <w:p>
            <w:r>
              <w:t>production_type</w:t>
            </w:r>
          </w:p>
        </w:tc>
        <w:tc>
          <w:tcPr>
            <w:tcW w:type="dxa" w:w="3213"/>
          </w:tcPr>
          <w:p>
            <w:r>
              <w:t>Тип энергии</w:t>
            </w:r>
          </w:p>
        </w:tc>
        <w:tc>
          <w:tcPr>
            <w:tcW w:type="dxa" w:w="3213"/>
          </w:tcPr>
          <w:p>
            <w:r>
              <w:t>Источник энергии: solar, wind, nuclear, gas и т. д.</w:t>
            </w:r>
          </w:p>
        </w:tc>
      </w:tr>
      <w:tr>
        <w:tc>
          <w:tcPr>
            <w:tcW w:type="dxa" w:w="3213"/>
          </w:tcPr>
          <w:p>
            <w:r>
              <w:t>generation_mw</w:t>
            </w:r>
          </w:p>
        </w:tc>
        <w:tc>
          <w:tcPr>
            <w:tcW w:type="dxa" w:w="3213"/>
          </w:tcPr>
          <w:p>
            <w:r>
              <w:t>Вырабатываемая мощность</w:t>
            </w:r>
          </w:p>
        </w:tc>
        <w:tc>
          <w:tcPr>
            <w:tcW w:type="dxa" w:w="3213"/>
          </w:tcPr>
          <w:p>
            <w:r>
              <w:t>Фактическая мощность генерации данного типа</w:t>
            </w:r>
          </w:p>
        </w:tc>
      </w:tr>
      <w:tr>
        <w:tc>
          <w:tcPr>
            <w:tcW w:type="dxa" w:w="3213"/>
          </w:tcPr>
          <w:p>
            <w:r>
              <w:t>resolution</w:t>
            </w:r>
          </w:p>
        </w:tc>
        <w:tc>
          <w:tcPr>
            <w:tcW w:type="dxa" w:w="3213"/>
          </w:tcPr>
          <w:p>
            <w:r>
              <w:t>Временной шаг данных</w:t>
            </w:r>
          </w:p>
        </w:tc>
        <w:tc>
          <w:tcPr>
            <w:tcW w:type="dxa" w:w="3213"/>
          </w:tcPr>
          <w:p>
            <w:r>
              <w:t>Временной шаг данных</w:t>
            </w:r>
          </w:p>
        </w:tc>
      </w:tr>
    </w:tbl>
    <w:p/>
    <w:p>
      <w:r>
        <w:rPr>
          <w:b/>
        </w:rPr>
        <w:t>3. Таблица прогноза погоды: weather_forecast (Open-Meteo Forecast API)</w:t>
      </w:r>
    </w:p>
    <w:p>
      <w:r>
        <w:rPr>
          <w:i/>
        </w:rPr>
        <w:t>Назначение: оперативный метеопрогноз около дата-центров (температура, влажность, скорость ветра, радиация). Партиционирование: RANGE по forecast_time (1 месяц).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datacenter_id</w:t>
            </w:r>
          </w:p>
        </w:tc>
        <w:tc>
          <w:tcPr>
            <w:tcW w:type="dxa" w:w="3213"/>
          </w:tcPr>
          <w:p>
            <w:r>
              <w:t>ЦОД</w:t>
            </w:r>
          </w:p>
        </w:tc>
        <w:tc>
          <w:tcPr>
            <w:tcW w:type="dxa" w:w="3213"/>
          </w:tcPr>
          <w:p>
            <w:r>
              <w:t>Для какого ЦОД был получен прогноз</w:t>
            </w:r>
          </w:p>
        </w:tc>
      </w:tr>
      <w:tr>
        <w:tc>
          <w:tcPr>
            <w:tcW w:type="dxa" w:w="3213"/>
          </w:tcPr>
          <w:p>
            <w:r>
              <w:t>latitude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</w:tr>
      <w:tr>
        <w:tc>
          <w:tcPr>
            <w:tcW w:type="dxa" w:w="3213"/>
          </w:tcPr>
          <w:p>
            <w:r>
              <w:t>longitude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</w:tr>
      <w:tr>
        <w:tc>
          <w:tcPr>
            <w:tcW w:type="dxa" w:w="3213"/>
          </w:tcPr>
          <w:p>
            <w:r>
              <w:t>forecast_time</w:t>
            </w:r>
          </w:p>
        </w:tc>
        <w:tc>
          <w:tcPr>
            <w:tcW w:type="dxa" w:w="3213"/>
          </w:tcPr>
          <w:p>
            <w:r>
              <w:t>Время прогноза</w:t>
            </w:r>
          </w:p>
        </w:tc>
        <w:tc>
          <w:tcPr>
            <w:tcW w:type="dxa" w:w="3213"/>
          </w:tcPr>
          <w:p>
            <w:r>
              <w:t>На какой момент прогнозируется погода</w:t>
            </w:r>
          </w:p>
        </w:tc>
      </w:tr>
      <w:tr>
        <w:tc>
          <w:tcPr>
            <w:tcW w:type="dxa" w:w="3213"/>
          </w:tcPr>
          <w:p>
            <w:r>
              <w:t>temperature_2m</w:t>
            </w:r>
          </w:p>
        </w:tc>
        <w:tc>
          <w:tcPr>
            <w:tcW w:type="dxa" w:w="3213"/>
          </w:tcPr>
          <w:p>
            <w:r>
              <w:t>Температура воздуха</w:t>
            </w:r>
          </w:p>
        </w:tc>
        <w:tc>
          <w:tcPr>
            <w:tcW w:type="dxa" w:w="3213"/>
          </w:tcPr>
          <w:p>
            <w:r>
              <w:t>Температура воздуха; ключевой погодный фактор для охлаждения</w:t>
            </w:r>
          </w:p>
        </w:tc>
      </w:tr>
      <w:tr>
        <w:tc>
          <w:tcPr>
            <w:tcW w:type="dxa" w:w="3213"/>
          </w:tcPr>
          <w:p>
            <w:r>
              <w:t>relative_humidity_2m</w:t>
            </w:r>
          </w:p>
        </w:tc>
        <w:tc>
          <w:tcPr>
            <w:tcW w:type="dxa" w:w="3213"/>
          </w:tcPr>
          <w:p>
            <w:r>
              <w:t>Влажность</w:t>
            </w:r>
          </w:p>
        </w:tc>
        <w:tc>
          <w:tcPr>
            <w:tcW w:type="dxa" w:w="3213"/>
          </w:tcPr>
          <w:p>
            <w:r>
              <w:t>Влажность; может участвовать в модели эффективности охлаждения</w:t>
            </w:r>
          </w:p>
        </w:tc>
      </w:tr>
      <w:tr>
        <w:tc>
          <w:tcPr>
            <w:tcW w:type="dxa" w:w="3213"/>
          </w:tcPr>
          <w:p>
            <w:r>
              <w:t>cloud_cover</w:t>
            </w:r>
          </w:p>
        </w:tc>
        <w:tc>
          <w:tcPr>
            <w:tcW w:type="dxa" w:w="3213"/>
          </w:tcPr>
          <w:p>
            <w:r>
              <w:t>Облачность</w:t>
            </w:r>
          </w:p>
        </w:tc>
        <w:tc>
          <w:tcPr>
            <w:tcW w:type="dxa" w:w="3213"/>
          </w:tcPr>
          <w:p>
            <w:r>
              <w:t>Облачность, %</w:t>
            </w:r>
          </w:p>
        </w:tc>
      </w:tr>
      <w:tr>
        <w:tc>
          <w:tcPr>
            <w:tcW w:type="dxa" w:w="3213"/>
          </w:tcPr>
          <w:p>
            <w:r>
              <w:t>wind_speed_10m</w:t>
            </w:r>
          </w:p>
        </w:tc>
        <w:tc>
          <w:tcPr>
            <w:tcW w:type="dxa" w:w="3213"/>
          </w:tcPr>
          <w:p>
            <w:r>
              <w:t>Скорость ветра</w:t>
            </w:r>
          </w:p>
        </w:tc>
        <w:tc>
          <w:tcPr>
            <w:tcW w:type="dxa" w:w="3213"/>
          </w:tcPr>
          <w:p>
            <w:r>
              <w:t>Скорость ветра</w:t>
            </w:r>
          </w:p>
        </w:tc>
      </w:tr>
      <w:tr>
        <w:tc>
          <w:tcPr>
            <w:tcW w:type="dxa" w:w="3213"/>
          </w:tcPr>
          <w:p>
            <w:r>
              <w:t>shortwave_radiation</w:t>
            </w:r>
          </w:p>
        </w:tc>
        <w:tc>
          <w:tcPr>
            <w:tcW w:type="dxa" w:w="3213"/>
          </w:tcPr>
          <w:p>
            <w:r>
              <w:t>Солнечная радиация</w:t>
            </w:r>
          </w:p>
        </w:tc>
        <w:tc>
          <w:tcPr>
            <w:tcW w:type="dxa" w:w="3213"/>
          </w:tcPr>
          <w:p>
            <w:r>
              <w:t>Солнечная радиация</w:t>
            </w:r>
          </w:p>
        </w:tc>
      </w:tr>
      <w:tr>
        <w:tc>
          <w:tcPr>
            <w:tcW w:type="dxa" w:w="3213"/>
          </w:tcPr>
          <w:p>
            <w:r>
              <w:t>retrieved_at</w:t>
            </w:r>
          </w:p>
        </w:tc>
        <w:tc>
          <w:tcPr>
            <w:tcW w:type="dxa" w:w="3213"/>
          </w:tcPr>
          <w:p>
            <w:r>
              <w:t>Время получения</w:t>
            </w:r>
          </w:p>
        </w:tc>
        <w:tc>
          <w:tcPr>
            <w:tcW w:type="dxa" w:w="3213"/>
          </w:tcPr>
          <w:p>
            <w:r>
              <w:t>Когда именно мы получили этот прогноз</w:t>
            </w:r>
          </w:p>
        </w:tc>
      </w:tr>
    </w:tbl>
    <w:p/>
    <w:p>
      <w:r>
        <w:rPr>
          <w:b/>
        </w:rPr>
        <w:t>4. Таблица исторического метеоархива: weather_historical (Open-Meteo Historical Weather)</w:t>
      </w:r>
    </w:p>
    <w:p>
      <w:r>
        <w:rPr>
          <w:i/>
        </w:rPr>
        <w:t>Назначение: ретроспективные метеопараметры за 3–5 лет для EDA и обучения ML-моделей. Партиционирование: RANGE по observed_at (1 год).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datacenter_id</w:t>
            </w:r>
          </w:p>
        </w:tc>
        <w:tc>
          <w:tcPr>
            <w:tcW w:type="dxa" w:w="3213"/>
          </w:tcPr>
          <w:p>
            <w:r>
              <w:t>ЦОД</w:t>
            </w:r>
          </w:p>
        </w:tc>
        <w:tc>
          <w:tcPr>
            <w:tcW w:type="dxa" w:w="3213"/>
          </w:tcPr>
          <w:p>
            <w:r>
              <w:t>Привязка погоды к ЦОД</w:t>
            </w:r>
          </w:p>
        </w:tc>
      </w:tr>
      <w:tr>
        <w:tc>
          <w:tcPr>
            <w:tcW w:type="dxa" w:w="3213"/>
          </w:tcPr>
          <w:p>
            <w:r>
              <w:t>latitude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</w:tr>
      <w:tr>
        <w:tc>
          <w:tcPr>
            <w:tcW w:type="dxa" w:w="3213"/>
          </w:tcPr>
          <w:p>
            <w:r>
              <w:t>longitude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</w:tr>
      <w:tr>
        <w:tc>
          <w:tcPr>
            <w:tcW w:type="dxa" w:w="3213"/>
          </w:tcPr>
          <w:p>
            <w:r>
              <w:t>observed_at</w:t>
            </w:r>
          </w:p>
        </w:tc>
        <w:tc>
          <w:tcPr>
            <w:tcW w:type="dxa" w:w="3213"/>
          </w:tcPr>
          <w:p>
            <w:r>
              <w:t>Время замера</w:t>
            </w:r>
          </w:p>
        </w:tc>
        <w:tc>
          <w:tcPr>
            <w:tcW w:type="dxa" w:w="3213"/>
          </w:tcPr>
          <w:p>
            <w:r>
              <w:t>Время исторического значения</w:t>
            </w:r>
          </w:p>
        </w:tc>
      </w:tr>
      <w:tr>
        <w:tc>
          <w:tcPr>
            <w:tcW w:type="dxa" w:w="3213"/>
          </w:tcPr>
          <w:p>
            <w:r>
              <w:t>temperature_2m</w:t>
            </w:r>
          </w:p>
        </w:tc>
        <w:tc>
          <w:tcPr>
            <w:tcW w:type="dxa" w:w="3213"/>
          </w:tcPr>
          <w:p>
            <w:r>
              <w:t>Температура</w:t>
            </w:r>
          </w:p>
        </w:tc>
        <w:tc>
          <w:tcPr>
            <w:tcW w:type="dxa" w:w="3213"/>
          </w:tcPr>
          <w:p>
            <w:r>
              <w:t>Историческая температура</w:t>
            </w:r>
          </w:p>
        </w:tc>
      </w:tr>
      <w:tr>
        <w:tc>
          <w:tcPr>
            <w:tcW w:type="dxa" w:w="3213"/>
          </w:tcPr>
          <w:p>
            <w:r>
              <w:t>relative_humidity_2m</w:t>
            </w:r>
          </w:p>
        </w:tc>
        <w:tc>
          <w:tcPr>
            <w:tcW w:type="dxa" w:w="3213"/>
          </w:tcPr>
          <w:p>
            <w:r>
              <w:t>Влажность</w:t>
            </w:r>
          </w:p>
        </w:tc>
        <w:tc>
          <w:tcPr>
            <w:tcW w:type="dxa" w:w="3213"/>
          </w:tcPr>
          <w:p>
            <w:r>
              <w:t>Историческая влажность</w:t>
            </w:r>
          </w:p>
        </w:tc>
      </w:tr>
      <w:tr>
        <w:tc>
          <w:tcPr>
            <w:tcW w:type="dxa" w:w="3213"/>
          </w:tcPr>
          <w:p>
            <w:r>
              <w:t>cloud_cover</w:t>
            </w:r>
          </w:p>
        </w:tc>
        <w:tc>
          <w:tcPr>
            <w:tcW w:type="dxa" w:w="3213"/>
          </w:tcPr>
          <w:p>
            <w:r>
              <w:t>Облачность</w:t>
            </w:r>
          </w:p>
        </w:tc>
        <w:tc>
          <w:tcPr>
            <w:tcW w:type="dxa" w:w="3213"/>
          </w:tcPr>
          <w:p>
            <w:r>
              <w:t>Историческая облачность</w:t>
            </w:r>
          </w:p>
        </w:tc>
      </w:tr>
      <w:tr>
        <w:tc>
          <w:tcPr>
            <w:tcW w:type="dxa" w:w="3213"/>
          </w:tcPr>
          <w:p>
            <w:r>
              <w:t>wind_speed_10m</w:t>
            </w:r>
          </w:p>
        </w:tc>
        <w:tc>
          <w:tcPr>
            <w:tcW w:type="dxa" w:w="3213"/>
          </w:tcPr>
          <w:p>
            <w:r>
              <w:t>Скорость ветра</w:t>
            </w:r>
          </w:p>
        </w:tc>
        <w:tc>
          <w:tcPr>
            <w:tcW w:type="dxa" w:w="3213"/>
          </w:tcPr>
          <w:p>
            <w:r>
              <w:t>Историческая скорость ветра</w:t>
            </w:r>
          </w:p>
        </w:tc>
      </w:tr>
      <w:tr>
        <w:tc>
          <w:tcPr>
            <w:tcW w:type="dxa" w:w="3213"/>
          </w:tcPr>
          <w:p>
            <w:r>
              <w:t>shortwave_radiation</w:t>
            </w:r>
          </w:p>
        </w:tc>
        <w:tc>
          <w:tcPr>
            <w:tcW w:type="dxa" w:w="3213"/>
          </w:tcPr>
          <w:p>
            <w:r>
              <w:t>Солнечная радиация</w:t>
            </w:r>
          </w:p>
        </w:tc>
        <w:tc>
          <w:tcPr>
            <w:tcW w:type="dxa" w:w="3213"/>
          </w:tcPr>
          <w:p>
            <w:r>
              <w:t>Историческая солнечная радиация</w:t>
            </w:r>
          </w:p>
        </w:tc>
      </w:tr>
    </w:tbl>
    <w:p/>
    <w:p>
      <w:r>
        <w:rPr>
          <w:b/>
        </w:rPr>
        <w:t>5. Справочник инфраструктуры клиента: client_infrastructure</w:t>
      </w:r>
    </w:p>
    <w:p>
      <w:r>
        <w:rPr>
          <w:i/>
        </w:rPr>
        <w:t>Назначение: справочник площадок ЦОД, географических координат, базового PUE и характеристик серверного парка.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datacenter_id</w:t>
            </w:r>
          </w:p>
        </w:tc>
        <w:tc>
          <w:tcPr>
            <w:tcW w:type="dxa" w:w="3213"/>
          </w:tcPr>
          <w:p>
            <w:r>
              <w:t>ЦОД</w:t>
            </w:r>
          </w:p>
        </w:tc>
        <w:tc>
          <w:tcPr>
            <w:tcW w:type="dxa" w:w="3213"/>
          </w:tcPr>
          <w:p>
            <w:r>
              <w:t>Уникальный ID вычислительной площадки</w:t>
            </w:r>
          </w:p>
        </w:tc>
      </w:tr>
      <w:tr>
        <w:tc>
          <w:tcPr>
            <w:tcW w:type="dxa" w:w="3213"/>
          </w:tcPr>
          <w:p>
            <w:r>
              <w:t>name</w:t>
            </w:r>
          </w:p>
        </w:tc>
        <w:tc>
          <w:tcPr>
            <w:tcW w:type="dxa" w:w="3213"/>
          </w:tcPr>
          <w:p>
            <w:r>
              <w:t>Имя ЦОД</w:t>
            </w:r>
          </w:p>
        </w:tc>
        <w:tc>
          <w:tcPr>
            <w:tcW w:type="dxa" w:w="3213"/>
          </w:tcPr>
          <w:p>
            <w:r>
              <w:t>Название ЦОД</w:t>
            </w:r>
          </w:p>
        </w:tc>
      </w:tr>
      <w:tr>
        <w:tc>
          <w:tcPr>
            <w:tcW w:type="dxa" w:w="3213"/>
          </w:tcPr>
          <w:p>
            <w:r>
              <w:t>bidding_zone</w:t>
            </w:r>
          </w:p>
        </w:tc>
        <w:tc>
          <w:tcPr>
            <w:tcW w:type="dxa" w:w="3213"/>
          </w:tcPr>
          <w:p>
            <w:r>
              <w:t>Цена зоны</w:t>
            </w:r>
          </w:p>
        </w:tc>
        <w:tc>
          <w:tcPr>
            <w:tcW w:type="dxa" w:w="3213"/>
          </w:tcPr>
          <w:p>
            <w:r>
              <w:t>Связывает ЦОД с ценами ENTSO-E</w:t>
            </w:r>
          </w:p>
        </w:tc>
      </w:tr>
      <w:tr>
        <w:tc>
          <w:tcPr>
            <w:tcW w:type="dxa" w:w="3213"/>
          </w:tcPr>
          <w:p>
            <w:r>
              <w:t>latitude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  <w:tc>
          <w:tcPr>
            <w:tcW w:type="dxa" w:w="3213"/>
          </w:tcPr>
          <w:p>
            <w:r>
              <w:t>Широта</w:t>
            </w:r>
          </w:p>
        </w:tc>
      </w:tr>
      <w:tr>
        <w:tc>
          <w:tcPr>
            <w:tcW w:type="dxa" w:w="3213"/>
          </w:tcPr>
          <w:p>
            <w:r>
              <w:t>longitude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  <w:tc>
          <w:tcPr>
            <w:tcW w:type="dxa" w:w="3213"/>
          </w:tcPr>
          <w:p>
            <w:r>
              <w:t>Долгота</w:t>
            </w:r>
          </w:p>
        </w:tc>
      </w:tr>
      <w:tr>
        <w:tc>
          <w:tcPr>
            <w:tcW w:type="dxa" w:w="3213"/>
          </w:tcPr>
          <w:p>
            <w:r>
              <w:t>max_power_kw</w:t>
            </w:r>
          </w:p>
        </w:tc>
        <w:tc>
          <w:tcPr>
            <w:tcW w:type="dxa" w:w="3213"/>
          </w:tcPr>
          <w:p>
            <w:r>
              <w:t>Предел выч. мощности</w:t>
            </w:r>
          </w:p>
        </w:tc>
        <w:tc>
          <w:tcPr>
            <w:tcW w:type="dxa" w:w="3213"/>
          </w:tcPr>
          <w:p>
            <w:r>
              <w:t>Максимальная доступная вычислительная/энергетическая мощность</w:t>
            </w:r>
          </w:p>
        </w:tc>
      </w:tr>
      <w:tr>
        <w:tc>
          <w:tcPr>
            <w:tcW w:type="dxa" w:w="3213"/>
          </w:tcPr>
          <w:p>
            <w:r>
              <w:t>base_pue</w:t>
            </w:r>
          </w:p>
        </w:tc>
        <w:tc>
          <w:tcPr>
            <w:tcW w:type="dxa" w:w="3213"/>
          </w:tcPr>
          <w:p>
            <w:r>
              <w:t>Эффективность энерготрат</w:t>
            </w:r>
          </w:p>
        </w:tc>
        <w:tc>
          <w:tcPr>
            <w:tcW w:type="dxa" w:w="3213"/>
          </w:tcPr>
          <w:p>
            <w:r>
              <w:t>Базовый Power Usage Effectiveness ЦОД</w:t>
            </w:r>
          </w:p>
        </w:tc>
      </w:tr>
      <w:tr>
        <w:tc>
          <w:tcPr>
            <w:tcW w:type="dxa" w:w="3213"/>
          </w:tcPr>
          <w:p>
            <w:r>
              <w:t>is_active</w:t>
            </w:r>
          </w:p>
        </w:tc>
        <w:tc>
          <w:tcPr>
            <w:tcW w:type="dxa" w:w="3213"/>
          </w:tcPr>
          <w:p>
            <w:r>
              <w:t>Доступность</w:t>
            </w:r>
          </w:p>
        </w:tc>
        <w:tc>
          <w:tcPr>
            <w:tcW w:type="dxa" w:w="3213"/>
          </w:tcPr>
          <w:p>
            <w:r>
              <w:t>Можно ли сейчас использовать площадку</w:t>
            </w:r>
          </w:p>
        </w:tc>
      </w:tr>
      <w:tr>
        <w:tc>
          <w:tcPr>
            <w:tcW w:type="dxa" w:w="3213"/>
          </w:tcPr>
          <w:p>
            <w:r>
              <w:t>created_at</w:t>
            </w:r>
          </w:p>
        </w:tc>
        <w:tc>
          <w:tcPr>
            <w:tcW w:type="dxa" w:w="3213"/>
          </w:tcPr>
          <w:p>
            <w:r>
              <w:t>Регистрация ЦОД</w:t>
            </w:r>
          </w:p>
        </w:tc>
        <w:tc>
          <w:tcPr>
            <w:tcW w:type="dxa" w:w="3213"/>
          </w:tcPr>
          <w:p>
            <w:r>
              <w:t>Когда ЦОД зарегистрирован в системе</w:t>
            </w:r>
          </w:p>
        </w:tc>
      </w:tr>
    </w:tbl>
    <w:p/>
    <w:p>
      <w:r>
        <w:rPr>
          <w:b/>
        </w:rPr>
        <w:t>6. Журнал параметров вычислительных задач: task_parameters (Параметры вычислительной задачи)</w:t>
      </w:r>
    </w:p>
    <w:p>
      <w:r>
        <w:rPr>
          <w:i/>
        </w:rPr>
        <w:t>Назначение: входящие требования к вычислительным задачам от внутренних систем/планировщиков клиента.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job_id</w:t>
            </w:r>
          </w:p>
        </w:tc>
        <w:tc>
          <w:tcPr>
            <w:tcW w:type="dxa" w:w="3213"/>
          </w:tcPr>
          <w:p>
            <w:r>
              <w:t>Задача</w:t>
            </w:r>
          </w:p>
        </w:tc>
        <w:tc>
          <w:tcPr>
            <w:tcW w:type="dxa" w:w="3213"/>
          </w:tcPr>
          <w:p>
            <w:r>
              <w:t>Уникальный идентификатор задачи</w:t>
            </w:r>
          </w:p>
        </w:tc>
      </w:tr>
      <w:tr>
        <w:tc>
          <w:tcPr>
            <w:tcW w:type="dxa" w:w="3213"/>
          </w:tcPr>
          <w:p>
            <w:r>
              <w:t>name</w:t>
            </w:r>
          </w:p>
        </w:tc>
        <w:tc>
          <w:tcPr>
            <w:tcW w:type="dxa" w:w="3213"/>
          </w:tcPr>
          <w:p>
            <w:r>
              <w:t>Имя задачи</w:t>
            </w:r>
          </w:p>
        </w:tc>
        <w:tc>
          <w:tcPr>
            <w:tcW w:type="dxa" w:w="3213"/>
          </w:tcPr>
          <w:p>
            <w:r>
              <w:t>Название задачи</w:t>
            </w:r>
          </w:p>
        </w:tc>
      </w:tr>
      <w:tr>
        <w:tc>
          <w:tcPr>
            <w:tcW w:type="dxa" w:w="3213"/>
          </w:tcPr>
          <w:p>
            <w:r>
              <w:t>duration_minutes</w:t>
            </w:r>
          </w:p>
        </w:tc>
        <w:tc>
          <w:tcPr>
            <w:tcW w:type="dxa" w:w="3213"/>
          </w:tcPr>
          <w:p>
            <w:r>
              <w:t>Время выполнения</w:t>
            </w:r>
          </w:p>
        </w:tc>
        <w:tc>
          <w:tcPr>
            <w:tcW w:type="dxa" w:w="3213"/>
          </w:tcPr>
          <w:p>
            <w:r>
              <w:t>Сколько непрерывно должна выполняться задача</w:t>
            </w:r>
          </w:p>
        </w:tc>
      </w:tr>
      <w:tr>
        <w:tc>
          <w:tcPr>
            <w:tcW w:type="dxa" w:w="3213"/>
          </w:tcPr>
          <w:p>
            <w:r>
              <w:t>required_power_kw</w:t>
            </w:r>
          </w:p>
        </w:tc>
        <w:tc>
          <w:tcPr>
            <w:tcW w:type="dxa" w:w="3213"/>
          </w:tcPr>
          <w:p>
            <w:r>
              <w:t>Затраты мощности</w:t>
            </w:r>
          </w:p>
        </w:tc>
        <w:tc>
          <w:tcPr>
            <w:tcW w:type="dxa" w:w="3213"/>
          </w:tcPr>
          <w:p>
            <w:r>
              <w:t>Оценочная мощность вычислений</w:t>
            </w:r>
          </w:p>
        </w:tc>
      </w:tr>
      <w:tr>
        <w:tc>
          <w:tcPr>
            <w:tcW w:type="dxa" w:w="3213"/>
          </w:tcPr>
          <w:p>
            <w:r>
              <w:t>earliest_start</w:t>
            </w:r>
          </w:p>
        </w:tc>
        <w:tc>
          <w:tcPr>
            <w:tcW w:type="dxa" w:w="3213"/>
          </w:tcPr>
          <w:p>
            <w:r>
              <w:t>Приемлемый старт</w:t>
            </w:r>
          </w:p>
        </w:tc>
        <w:tc>
          <w:tcPr>
            <w:tcW w:type="dxa" w:w="3213"/>
          </w:tcPr>
          <w:p>
            <w:r>
              <w:t>Раньше какого момента запускать нельзя</w:t>
            </w:r>
          </w:p>
        </w:tc>
      </w:tr>
      <w:tr>
        <w:tc>
          <w:tcPr>
            <w:tcW w:type="dxa" w:w="3213"/>
          </w:tcPr>
          <w:p>
            <w:r>
              <w:t>deadline</w:t>
            </w:r>
          </w:p>
        </w:tc>
        <w:tc>
          <w:tcPr>
            <w:tcW w:type="dxa" w:w="3213"/>
          </w:tcPr>
          <w:p>
            <w:r>
              <w:t>Дедлайн</w:t>
            </w:r>
          </w:p>
        </w:tc>
        <w:tc>
          <w:tcPr>
            <w:tcW w:type="dxa" w:w="3213"/>
          </w:tcPr>
          <w:p>
            <w:r>
              <w:t>К какому моменту задача должна завершиться</w:t>
            </w:r>
          </w:p>
        </w:tc>
      </w:tr>
      <w:tr>
        <w:tc>
          <w:tcPr>
            <w:tcW w:type="dxa" w:w="3213"/>
          </w:tcPr>
          <w:p>
            <w:r>
              <w:t>preferred_datacenter_id</w:t>
            </w:r>
          </w:p>
        </w:tc>
        <w:tc>
          <w:tcPr>
            <w:tcW w:type="dxa" w:w="3213"/>
          </w:tcPr>
          <w:p>
            <w:r>
              <w:t>Предпочтительный ЦОД</w:t>
            </w:r>
          </w:p>
        </w:tc>
        <w:tc>
          <w:tcPr>
            <w:tcW w:type="dxa" w:w="3213"/>
          </w:tcPr>
          <w:p>
            <w:r>
              <w:t>Текущая/предпочтительная площадка, если есть</w:t>
            </w:r>
          </w:p>
        </w:tc>
      </w:tr>
      <w:tr>
        <w:tc>
          <w:tcPr>
            <w:tcW w:type="dxa" w:w="3213"/>
          </w:tcPr>
          <w:p>
            <w:r>
              <w:t>allow_geo_migration</w:t>
            </w:r>
          </w:p>
        </w:tc>
        <w:tc>
          <w:tcPr>
            <w:tcW w:type="dxa" w:w="3213"/>
          </w:tcPr>
          <w:p>
            <w:r>
              <w:t>Статус переноса задачи</w:t>
            </w:r>
          </w:p>
        </w:tc>
        <w:tc>
          <w:tcPr>
            <w:tcW w:type="dxa" w:w="3213"/>
          </w:tcPr>
          <w:p>
            <w:r>
              <w:t>Разрешено ли переносить вычисление в другую энергозону</w:t>
            </w:r>
          </w:p>
        </w:tc>
      </w:tr>
      <w:tr>
        <w:tc>
          <w:tcPr>
            <w:tcW w:type="dxa" w:w="3213"/>
          </w:tcPr>
          <w:p>
            <w:r>
              <w:t>created_at</w:t>
            </w:r>
          </w:p>
        </w:tc>
        <w:tc>
          <w:tcPr>
            <w:tcW w:type="dxa" w:w="3213"/>
          </w:tcPr>
          <w:p>
            <w:r>
              <w:t>Поступление задачи</w:t>
            </w:r>
          </w:p>
        </w:tc>
        <w:tc>
          <w:tcPr>
            <w:tcW w:type="dxa" w:w="3213"/>
          </w:tcPr>
          <w:p>
            <w:r>
              <w:t>Когда задача поступила</w:t>
            </w:r>
          </w:p>
        </w:tc>
      </w:tr>
    </w:tbl>
    <w:p/>
    <w:p>
      <w:r>
        <w:rPr>
          <w:b/>
        </w:rPr>
        <w:t>7. Журнал рекомендаций и результатов расчётов: task_history (Внутренние журналы задач и результаты рекомендаций)</w:t>
      </w:r>
    </w:p>
    <w:p>
      <w:r>
        <w:rPr>
          <w:i/>
        </w:rPr>
        <w:t>Назначение: история запросов, выбранное окно запуска, выбранный ЦОД, расчётная стоимость, базовая стоимость и экономия. Партиционирование: RANGE по calculated_at (1 месяц).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Бизнес-название</w:t>
            </w:r>
          </w:p>
        </w:tc>
        <w:tc>
          <w:tcPr>
            <w:tcW w:type="dxa" w:w="3213"/>
          </w:tcPr>
          <w:p>
            <w:r>
              <w:rPr>
                <w:b/>
              </w:rPr>
              <w:t>Пояснение</w:t>
            </w:r>
          </w:p>
        </w:tc>
      </w:tr>
      <w:tr>
        <w:tc>
          <w:tcPr>
            <w:tcW w:type="dxa" w:w="3213"/>
          </w:tcPr>
          <w:p>
            <w:r>
              <w:t>recommendation_id</w:t>
            </w:r>
          </w:p>
        </w:tc>
        <w:tc>
          <w:tcPr>
            <w:tcW w:type="dxa" w:w="3213"/>
          </w:tcPr>
          <w:p>
            <w:r>
              <w:t>Рекомендация</w:t>
            </w:r>
          </w:p>
        </w:tc>
        <w:tc>
          <w:tcPr>
            <w:tcW w:type="dxa" w:w="3213"/>
          </w:tcPr>
          <w:p>
            <w:r>
              <w:t>ID рекомендации</w:t>
            </w:r>
          </w:p>
        </w:tc>
      </w:tr>
      <w:tr>
        <w:tc>
          <w:tcPr>
            <w:tcW w:type="dxa" w:w="3213"/>
          </w:tcPr>
          <w:p>
            <w:r>
              <w:t>job_id</w:t>
            </w:r>
          </w:p>
        </w:tc>
        <w:tc>
          <w:tcPr>
            <w:tcW w:type="dxa" w:w="3213"/>
          </w:tcPr>
          <w:p>
            <w:r>
              <w:t>Задача</w:t>
            </w:r>
          </w:p>
        </w:tc>
        <w:tc>
          <w:tcPr>
            <w:tcW w:type="dxa" w:w="3213"/>
          </w:tcPr>
          <w:p>
            <w:r>
              <w:t>Для какой задачи произведён расчёт</w:t>
            </w:r>
          </w:p>
        </w:tc>
      </w:tr>
      <w:tr>
        <w:tc>
          <w:tcPr>
            <w:tcW w:type="dxa" w:w="3213"/>
          </w:tcPr>
          <w:p>
            <w:r>
              <w:t>datacenter_id</w:t>
            </w:r>
          </w:p>
        </w:tc>
        <w:tc>
          <w:tcPr>
            <w:tcW w:type="dxa" w:w="3213"/>
          </w:tcPr>
          <w:p>
            <w:r>
              <w:t>Центр обработки данных</w:t>
            </w:r>
          </w:p>
        </w:tc>
        <w:tc>
          <w:tcPr>
            <w:tcW w:type="dxa" w:w="3213"/>
          </w:tcPr>
          <w:p>
            <w:r>
              <w:t>Какой ЦОД выбран</w:t>
            </w:r>
          </w:p>
        </w:tc>
      </w:tr>
      <w:tr>
        <w:tc>
          <w:tcPr>
            <w:tcW w:type="dxa" w:w="3213"/>
          </w:tcPr>
          <w:p>
            <w:r>
              <w:t>recommended_start</w:t>
            </w:r>
          </w:p>
        </w:tc>
        <w:tc>
          <w:tcPr>
            <w:tcW w:type="dxa" w:w="3213"/>
          </w:tcPr>
          <w:p>
            <w:r>
              <w:t>Рекомендованное начало</w:t>
            </w:r>
          </w:p>
        </w:tc>
        <w:tc>
          <w:tcPr>
            <w:tcW w:type="dxa" w:w="3213"/>
          </w:tcPr>
          <w:p>
            <w:r>
              <w:t>Рекомендованное время запуска</w:t>
            </w:r>
          </w:p>
        </w:tc>
      </w:tr>
      <w:tr>
        <w:tc>
          <w:tcPr>
            <w:tcW w:type="dxa" w:w="3213"/>
          </w:tcPr>
          <w:p>
            <w:r>
              <w:t>recommended_end</w:t>
            </w:r>
          </w:p>
        </w:tc>
        <w:tc>
          <w:tcPr>
            <w:tcW w:type="dxa" w:w="3213"/>
          </w:tcPr>
          <w:p>
            <w:r>
              <w:t>Рекомендованное окончание</w:t>
            </w:r>
          </w:p>
        </w:tc>
        <w:tc>
          <w:tcPr>
            <w:tcW w:type="dxa" w:w="3213"/>
          </w:tcPr>
          <w:p>
            <w:r>
              <w:t>Рекомендованное время остановки</w:t>
            </w:r>
          </w:p>
        </w:tc>
      </w:tr>
      <w:tr>
        <w:tc>
          <w:tcPr>
            <w:tcW w:type="dxa" w:w="3213"/>
          </w:tcPr>
          <w:p>
            <w:r>
              <w:t>estimated_energy_kwh</w:t>
            </w:r>
          </w:p>
        </w:tc>
        <w:tc>
          <w:tcPr>
            <w:tcW w:type="dxa" w:w="3213"/>
          </w:tcPr>
          <w:p>
            <w:r>
              <w:t>Энергопотребление</w:t>
            </w:r>
          </w:p>
        </w:tc>
        <w:tc>
          <w:tcPr>
            <w:tcW w:type="dxa" w:w="3213"/>
          </w:tcPr>
          <w:p>
            <w:r>
              <w:t>Ожидаемое энергопотребление (кВт * ч)</w:t>
            </w:r>
          </w:p>
        </w:tc>
      </w:tr>
      <w:tr>
        <w:tc>
          <w:tcPr>
            <w:tcW w:type="dxa" w:w="3213"/>
          </w:tcPr>
          <w:p>
            <w:r>
              <w:t>estimated_cost</w:t>
            </w:r>
          </w:p>
        </w:tc>
        <w:tc>
          <w:tcPr>
            <w:tcW w:type="dxa" w:w="3213"/>
          </w:tcPr>
          <w:p>
            <w:r>
              <w:t>Стоимость</w:t>
            </w:r>
          </w:p>
        </w:tc>
        <w:tc>
          <w:tcPr>
            <w:tcW w:type="dxa" w:w="3213"/>
          </w:tcPr>
          <w:p>
            <w:r>
              <w:t>Ожидаемая стоимость запуска</w:t>
            </w:r>
          </w:p>
        </w:tc>
      </w:tr>
      <w:tr>
        <w:tc>
          <w:tcPr>
            <w:tcW w:type="dxa" w:w="3213"/>
          </w:tcPr>
          <w:p>
            <w:r>
              <w:t>estimated_savings</w:t>
            </w:r>
          </w:p>
        </w:tc>
        <w:tc>
          <w:tcPr>
            <w:tcW w:type="dxa" w:w="3213"/>
          </w:tcPr>
          <w:p>
            <w:r>
              <w:t>Экономия</w:t>
            </w:r>
          </w:p>
        </w:tc>
        <w:tc>
          <w:tcPr>
            <w:tcW w:type="dxa" w:w="3213"/>
          </w:tcPr>
          <w:p>
            <w:r>
              <w:t>Экономия относительно базового сценария</w:t>
            </w:r>
          </w:p>
        </w:tc>
      </w:tr>
      <w:tr>
        <w:tc>
          <w:tcPr>
            <w:tcW w:type="dxa" w:w="3213"/>
          </w:tcPr>
          <w:p>
            <w:r>
              <w:t>currency</w:t>
            </w:r>
          </w:p>
        </w:tc>
        <w:tc>
          <w:tcPr>
            <w:tcW w:type="dxa" w:w="3213"/>
          </w:tcPr>
          <w:p>
            <w:r>
              <w:t>Валюта</w:t>
            </w:r>
          </w:p>
        </w:tc>
        <w:tc>
          <w:tcPr>
            <w:tcW w:type="dxa" w:w="3213"/>
          </w:tcPr>
          <w:p>
            <w:r>
              <w:t>Валюта расчёта</w:t>
            </w:r>
          </w:p>
        </w:tc>
      </w:tr>
      <w:tr>
        <w:tc>
          <w:tcPr>
            <w:tcW w:type="dxa" w:w="3213"/>
          </w:tcPr>
          <w:p>
            <w:r>
              <w:t>calculated_at</w:t>
            </w:r>
          </w:p>
        </w:tc>
        <w:tc>
          <w:tcPr>
            <w:tcW w:type="dxa" w:w="3213"/>
          </w:tcPr>
          <w:p>
            <w:r>
              <w:t>Время расчёта</w:t>
            </w:r>
          </w:p>
        </w:tc>
        <w:tc>
          <w:tcPr>
            <w:tcW w:type="dxa" w:w="3213"/>
          </w:tcPr>
          <w:p>
            <w:r>
              <w:t>Когда была рассчитана рекомендация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B365D"/>
          <w:sz w:val="25"/>
        </w:rPr>
        <w:t>2.3. Optimization &amp; ML Engine (Ядро логики)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Технологии: </w:t>
      </w:r>
      <w:r>
        <w:rPr>
          <w:rFonts w:ascii="Arial" w:hAnsi="Arial"/>
          <w:sz w:val="19"/>
        </w:rPr>
        <w:t>Python 3.11, Pandas, NumPy, Scikit-learn.</w:t>
      </w:r>
    </w:p>
    <w:p>
      <w:pPr>
        <w:pStyle w:val="ListBullet2"/>
        <w:spacing w:before="20" w:after="40"/>
      </w:pPr>
      <w:r>
        <w:rPr>
          <w:rFonts w:ascii="Arial" w:hAnsi="Arial"/>
          <w:b/>
          <w:sz w:val="19"/>
        </w:rPr>
        <w:t xml:space="preserve">Расчёт динамического PUE: </w:t>
      </w:r>
      <w:r>
        <w:rPr>
          <w:rFonts w:ascii="Arial" w:hAnsi="Arial"/>
          <w:sz w:val="19"/>
        </w:rPr>
        <w:t>корректировка базового коэффициента энергоэффективности оборудования в зависимости от уличной температуры воздуха.</w:t>
      </w:r>
    </w:p>
    <w:p>
      <w:pPr>
        <w:pStyle w:val="ListBullet2"/>
        <w:spacing w:before="20" w:after="40"/>
      </w:pPr>
      <w:r>
        <w:rPr>
          <w:rFonts w:ascii="Arial" w:hAnsi="Arial"/>
          <w:b/>
          <w:sz w:val="19"/>
        </w:rPr>
        <w:t xml:space="preserve">Geo-Arbitrage Engine: </w:t>
      </w:r>
      <w:r>
        <w:rPr>
          <w:rFonts w:ascii="Arial" w:hAnsi="Arial"/>
          <w:sz w:val="19"/>
        </w:rPr>
        <w:t>пространственно-временной арбитраж — сравнение совокупной стоимости вычислений в доступных дата-центрах клиента с учётом почасовых тарифов.</w:t>
      </w:r>
    </w:p>
    <w:p>
      <w:pPr>
        <w:pStyle w:val="ListBullet2"/>
        <w:spacing w:before="20" w:after="40"/>
      </w:pPr>
      <w:r>
        <w:rPr>
          <w:rFonts w:ascii="Arial" w:hAnsi="Arial"/>
          <w:b/>
          <w:sz w:val="19"/>
        </w:rPr>
        <w:t xml:space="preserve">ML-Forecast (2-й семестр): </w:t>
      </w:r>
      <w:r>
        <w:rPr>
          <w:rFonts w:ascii="Arial" w:hAnsi="Arial"/>
          <w:sz w:val="19"/>
        </w:rPr>
        <w:t>прогнозирование спотовых цен и углеродного следа на 3–7 дней вперёд с помощью моделей (XGBoost / Prophet), обученных на 5-летнем историческом архиве.</w:t>
      </w:r>
    </w:p>
    <w:p>
      <w:pPr>
        <w:spacing w:before="200" w:after="80"/>
      </w:pPr>
      <w:r>
        <w:rPr>
          <w:rFonts w:ascii="Arial" w:hAnsi="Arial"/>
          <w:b/>
          <w:color w:val="1B365D"/>
          <w:sz w:val="25"/>
        </w:rPr>
        <w:t>2.4. API Gateway (Бэкенд)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Технологии: </w:t>
      </w:r>
      <w:r>
        <w:rPr>
          <w:rFonts w:ascii="Arial" w:hAnsi="Arial"/>
          <w:sz w:val="19"/>
        </w:rPr>
        <w:t>FastAPI, Uvicorn, Pydantic.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Назначение: </w:t>
      </w:r>
      <w:r>
        <w:rPr>
          <w:rFonts w:ascii="Arial" w:hAnsi="Arial"/>
          <w:sz w:val="19"/>
        </w:rPr>
        <w:t>защищённый REST API для интеграции с корпоративными планировщиками (Airflow, Kubeflow, Slurm, cron).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Формат ответа: </w:t>
      </w:r>
      <w:r>
        <w:rPr>
          <w:rFonts w:ascii="Arial" w:hAnsi="Arial"/>
          <w:sz w:val="19"/>
        </w:rPr>
        <w:t>выдача рекомендаций оптимального окна {start_time, target_datacenter, expected_cost, expected_savings}.</w:t>
      </w:r>
    </w:p>
    <w:p>
      <w:pPr>
        <w:spacing w:before="200" w:after="80"/>
      </w:pPr>
      <w:r>
        <w:rPr>
          <w:rFonts w:ascii="Arial" w:hAnsi="Arial"/>
          <w:b/>
          <w:color w:val="1B365D"/>
          <w:sz w:val="25"/>
        </w:rPr>
        <w:t>2.5. Web UI (Фронтенд)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Технологии: </w:t>
      </w:r>
      <w:r>
        <w:rPr>
          <w:rFonts w:ascii="Arial" w:hAnsi="Arial"/>
          <w:sz w:val="19"/>
        </w:rPr>
        <w:t>React, TypeScript, TailwindCSS, Apache ECharts.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Интерактивная карта: </w:t>
      </w:r>
      <w:r>
        <w:rPr>
          <w:rFonts w:ascii="Arial" w:hAnsi="Arial"/>
          <w:sz w:val="19"/>
        </w:rPr>
        <w:t>визуализация текущих и прогнозных тарифов по энергозонам присутствия.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Графики волатильности: </w:t>
      </w:r>
      <w:r>
        <w:rPr>
          <w:rFonts w:ascii="Arial" w:hAnsi="Arial"/>
          <w:sz w:val="19"/>
        </w:rPr>
        <w:t>детальная динамика цен, погодных условий и выработки ВИЭ.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Калькулятор-симулятор: </w:t>
      </w:r>
      <w:r>
        <w:rPr>
          <w:rFonts w:ascii="Arial" w:hAnsi="Arial"/>
          <w:sz w:val="19"/>
        </w:rPr>
        <w:t>инструмент для ручного моделирования затрат на тяжелые пакетные задачи.</w:t>
      </w:r>
    </w:p>
    <w:p>
      <w:pPr>
        <w:pStyle w:val="ListBullet"/>
        <w:spacing w:before="20" w:after="40"/>
      </w:pPr>
      <w:r>
        <w:rPr>
          <w:rFonts w:ascii="Arial" w:hAnsi="Arial"/>
          <w:b/>
          <w:sz w:val="19"/>
        </w:rPr>
        <w:t xml:space="preserve">FinOps-дашборд: </w:t>
      </w:r>
      <w:r>
        <w:rPr>
          <w:rFonts w:ascii="Arial" w:hAnsi="Arial"/>
          <w:sz w:val="19"/>
        </w:rPr>
        <w:t>отчёт об общей экономии бюджета (€) и сокращении углеродного следа (CO₂).</w:t>
      </w:r>
    </w:p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0F2942"/>
          <w:sz w:val="30"/>
        </w:rPr>
        <w:t>3. Схема потоков данных (Data Flow)</w:t>
      </w:r>
    </w:p>
    <w:p>
      <w:pPr>
        <w:spacing w:before="160" w:after="80"/>
      </w:pPr>
      <w:r>
        <w:rPr>
          <w:rFonts w:ascii="Arial" w:hAnsi="Arial"/>
          <w:b/>
          <w:color w:val="1B365D"/>
          <w:sz w:val="24"/>
        </w:rPr>
        <w:t>3.1. Пошаговая последовательность обработки</w:t>
      </w:r>
    </w:p>
    <w:p>
      <w:pPr>
        <w:pStyle w:val="ListNumber"/>
        <w:spacing w:before="20" w:after="40"/>
      </w:pPr>
      <w:r>
        <w:rPr>
          <w:rFonts w:ascii="Arial" w:hAnsi="Arial"/>
          <w:b/>
          <w:sz w:val="19"/>
        </w:rPr>
        <w:t xml:space="preserve">1. Внешний мир: </w:t>
      </w:r>
      <w:r>
        <w:rPr>
          <w:rFonts w:ascii="Arial" w:hAnsi="Arial"/>
          <w:sz w:val="19"/>
        </w:rPr>
        <w:t>Биржи электроэнергии (ENTSO-E) и метеослужбы (Open-Meteo) публикуют суточные прогнозы и исторические архивы.</w:t>
      </w:r>
    </w:p>
    <w:p>
      <w:pPr>
        <w:pStyle w:val="ListNumber"/>
        <w:spacing w:before="20" w:after="40"/>
      </w:pPr>
      <w:r>
        <w:rPr>
          <w:rFonts w:ascii="Arial" w:hAnsi="Arial"/>
          <w:b/>
          <w:sz w:val="19"/>
        </w:rPr>
        <w:t xml:space="preserve">2. Сбор (ETL): </w:t>
      </w:r>
      <w:r>
        <w:rPr>
          <w:rFonts w:ascii="Arial" w:hAnsi="Arial"/>
          <w:sz w:val="19"/>
        </w:rPr>
        <w:t>Фоновые воркеры забирают данные, проводят Data Quality валидацию, очищают их и сохраняют в PostgreSQL.</w:t>
      </w:r>
    </w:p>
    <w:p>
      <w:pPr>
        <w:pStyle w:val="ListNumber"/>
        <w:spacing w:before="20" w:after="40"/>
      </w:pPr>
      <w:r>
        <w:rPr>
          <w:rFonts w:ascii="Arial" w:hAnsi="Arial"/>
          <w:b/>
          <w:sz w:val="19"/>
        </w:rPr>
        <w:t xml:space="preserve">3. Запрос на оптимизацию: </w:t>
      </w:r>
      <w:r>
        <w:rPr>
          <w:rFonts w:ascii="Arial" w:hAnsi="Arial"/>
          <w:sz w:val="19"/>
        </w:rPr>
        <w:t>Оркестратор задач клиента (Airflow / DataOps) отправляет POST-запрос в FastAPI Gateway: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single" w:sz="12" w:space="0" w:color="6C757D"/>
          <w:right w:val="none"/>
        </w:tblBorders>
      </w:tblPr>
      <w:tblGrid>
        <w:gridCol w:w="9638"/>
      </w:tblGrid>
      <w:tr>
        <w:tc>
          <w:tcPr>
            <w:tcW w:type="dxa" w:w="9354"/>
            <w:shd w:fill="F8F9FA"/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C757D"/>
                <w:sz w:val="17"/>
              </w:rPr>
              <w:t>// Входной payload запроса (POST /recommendations)</w:t>
              <w:br/>
            </w: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"task_name": "LLM-Fine-Tuning",</w:t>
              <w:br/>
              <w:t xml:space="preserve">  "task_duration_hours": 5,</w:t>
              <w:br/>
              <w:t xml:space="preserve">  "deadline": "2026-11-10T09:00:00Z",</w:t>
              <w:br/>
              <w:t xml:space="preserve">  "power_consumption_kw": 120,</w:t>
              <w:br/>
              <w:t xml:space="preserve">  "allowed_regions": ["DE", "FI", "SE"]</w:t>
              <w:br/>
              <w:t>}</w:t>
            </w:r>
          </w:p>
        </w:tc>
      </w:tr>
    </w:tbl>
    <w:p>
      <w:pPr>
        <w:pStyle w:val="ListNumber"/>
        <w:spacing w:before="40" w:after="40"/>
      </w:pPr>
      <w:r>
        <w:rPr>
          <w:rFonts w:ascii="Arial" w:hAnsi="Arial"/>
          <w:b/>
          <w:sz w:val="19"/>
        </w:rPr>
        <w:t xml:space="preserve">4. Расчёт оптимизатора: </w:t>
      </w:r>
      <w:r>
        <w:rPr>
          <w:rFonts w:ascii="Arial" w:hAnsi="Arial"/>
          <w:sz w:val="19"/>
        </w:rPr>
        <w:t>Движок сканирует тарифы в разрешённых регионах, корректирует потребление на динамический PUE (уличная температура), применяет ML-прогноз цен при дедлайне &gt; 24ч.</w:t>
      </w:r>
    </w:p>
    <w:p>
      <w:pPr>
        <w:pStyle w:val="ListNumber"/>
        <w:spacing w:before="40" w:after="40"/>
      </w:pPr>
      <w:r>
        <w:rPr>
          <w:rFonts w:ascii="Arial" w:hAnsi="Arial"/>
          <w:b/>
          <w:sz w:val="19"/>
        </w:rPr>
        <w:t xml:space="preserve">5. Ответ сервиса: </w:t>
      </w:r>
      <w:r>
        <w:rPr>
          <w:rFonts w:ascii="Arial" w:hAnsi="Arial"/>
          <w:sz w:val="19"/>
        </w:rPr>
        <w:t>API возвращает JSON с оптимальным дата-центром, временным слотом запуска и оценкой экономии: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bottom w:val="none"/>
          <w:insideH w:val="none"/>
          <w:insideV w:val="none"/>
          <w:left w:val="single" w:sz="12" w:space="0" w:color="6C757D"/>
          <w:right w:val="none"/>
        </w:tblBorders>
      </w:tblPr>
      <w:tblGrid>
        <w:gridCol w:w="9638"/>
      </w:tblGrid>
      <w:tr>
        <w:tc>
          <w:tcPr>
            <w:tcW w:type="dxa" w:w="9354"/>
            <w:shd w:fill="F8F9FA"/>
            <w:tcMar>
              <w:top w:w="100" w:type="dxa"/>
              <w:bottom w:w="100" w:type="dxa"/>
              <w:left w:w="16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6C757D"/>
                <w:sz w:val="17"/>
              </w:rPr>
              <w:t>// Выходной JSON-ответ оптимизатора</w:t>
              <w:br/>
            </w:r>
            <w:r>
              <w:rPr>
                <w:rFonts w:ascii="Consolas" w:hAnsi="Consolas"/>
                <w:color w:val="24292E"/>
                <w:sz w:val="17"/>
              </w:rPr>
              <w:t>{</w:t>
              <w:br/>
              <w:t xml:space="preserve">  "task_name": "LLM-Fine-Tuning",</w:t>
              <w:br/>
              <w:t xml:space="preserve">  "recommended_start_time": "2026-11-09T23:00:00Z",</w:t>
              <w:br/>
              <w:t xml:space="preserve">  "target_datacenter": "FI-HELSINKI-01",</w:t>
              <w:br/>
              <w:t xml:space="preserve">  "region": "FI",</w:t>
              <w:br/>
              <w:t xml:space="preserve">  "expected_cost_eur": 42.50,</w:t>
              <w:br/>
              <w:t xml:space="preserve">  "baseline_cost_eur": 89.20,</w:t>
              <w:br/>
              <w:t xml:space="preserve">  "estimated_savings_percent": 52.35</w:t>
              <w:br/>
              <w:t>}</w:t>
            </w:r>
          </w:p>
        </w:tc>
      </w:tr>
    </w:tbl>
    <w:p>
      <w:pPr>
        <w:pStyle w:val="ListNumber"/>
        <w:spacing w:before="40" w:after="80"/>
      </w:pPr>
      <w:r>
        <w:rPr>
          <w:rFonts w:ascii="Arial" w:hAnsi="Arial"/>
          <w:b/>
          <w:sz w:val="19"/>
        </w:rPr>
        <w:t xml:space="preserve">6. Визуализация и отчётность: </w:t>
      </w:r>
      <w:r>
        <w:rPr>
          <w:rFonts w:ascii="Arial" w:hAnsi="Arial"/>
          <w:sz w:val="19"/>
        </w:rPr>
        <w:t>Руководитель или FinOps-специалист открывает веб-портал и видит сводные отчёты сэкономленных денег (€) и сокращения выбросов CO₂.</w:t>
      </w:r>
    </w:p>
    <w:p>
      <w:pPr>
        <w:spacing w:before="240" w:after="80"/>
      </w:pPr>
      <w:r>
        <w:rPr>
          <w:rFonts w:ascii="Arial" w:hAnsi="Arial"/>
          <w:b/>
          <w:color w:val="1B365D"/>
          <w:sz w:val="24"/>
        </w:rPr>
        <w:t>3.2. Диаграмма взаимодействия компонентов (Sequence Diagram)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87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E7781"/>
          <w:sz w:val="17"/>
        </w:rPr>
        <w:t>Рисунок 2 — Диаграмма взаимодействия компонентов и контуров потоков данных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C959F"/>
        <w:sz w:val="17"/>
      </w:rPr>
      <w:t>Конфиденциально • Внутренний аналитический контур компании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959F"/>
        <w:sz w:val="17"/>
      </w:rPr>
      <w:t>EcoGrid Flow | Архитектура аналитического сервиса</w:t>
    </w:r>
    <w:r>
      <w:rPr>
        <w:rFonts w:ascii="Arial" w:hAnsi="Arial"/>
        <w:color w:val="8C959F"/>
        <w:sz w:val="17"/>
      </w:rPr>
      <w:t>EcoGrid Flow | Каталог источников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