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76fc5a419ec0c914228f84cb843254d4a3b7f2"/>
    <w:p>
      <w:pPr>
        <w:pStyle w:val="Heading1"/>
      </w:pPr>
      <w:r>
        <w:t xml:space="preserve">Семинар 3. Формирование требований при разработке ПО</w:t>
      </w:r>
    </w:p>
    <w:bookmarkStart w:id="9" w:name="цель-работы"/>
    <w:p>
      <w:pPr>
        <w:pStyle w:val="Heading2"/>
      </w:pPr>
      <w:r>
        <w:t xml:space="preserve">🎯 Цель работы</w:t>
      </w:r>
    </w:p>
    <w:p>
      <w:pPr>
        <w:pStyle w:val="FirstParagraph"/>
      </w:pPr>
      <w:r>
        <w:t xml:space="preserve">Собрать исходные требования к аналитическому сервису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, формализовать роли и цели заинтересованных сторон, описать предметную область и глоссарий, построить модели ключевого процесса в нотациях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TO-BE</w:t>
      </w:r>
      <w:r>
        <w:t xml:space="preserve">, зафиксировать границы системы через</w:t>
      </w:r>
      <w:r>
        <w:t xml:space="preserve"> </w:t>
      </w:r>
      <w:r>
        <w:rPr>
          <w:b/>
          <w:bCs/>
        </w:rPr>
        <w:t xml:space="preserve">контекстную диаграмму</w:t>
      </w:r>
      <w:r>
        <w:t xml:space="preserve"> </w:t>
      </w:r>
      <w:r>
        <w:t xml:space="preserve">и составить структурированный</w:t>
      </w:r>
      <w:r>
        <w:t xml:space="preserve"> </w:t>
      </w:r>
      <w:r>
        <w:rPr>
          <w:b/>
          <w:bCs/>
        </w:rPr>
        <w:t xml:space="preserve">каталог источников данных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-артефактов-семинара"/>
    <w:p>
      <w:pPr>
        <w:pStyle w:val="Heading2"/>
      </w:pPr>
      <w:r>
        <w:t xml:space="preserve">📋 Содержание артефактов семинара</w:t>
      </w:r>
    </w:p>
    <w:p>
      <w:pPr>
        <w:pStyle w:val="Compact"/>
        <w:numPr>
          <w:ilvl w:val="0"/>
          <w:numId w:val="1001"/>
        </w:numPr>
      </w:pPr>
      <w:hyperlink w:anchor="Xcadcc07d0b5b406fc3e3c9fa736ff3d992e2b96">
        <w:r>
          <w:rPr>
            <w:rStyle w:val="Hyperlink"/>
          </w:rPr>
          <w:t xml:space="preserve">Карта стейкхолдеров и их цели</w:t>
        </w:r>
      </w:hyperlink>
    </w:p>
    <w:p>
      <w:pPr>
        <w:pStyle w:val="Compact"/>
        <w:numPr>
          <w:ilvl w:val="0"/>
          <w:numId w:val="1001"/>
        </w:numPr>
      </w:pPr>
      <w:hyperlink w:anchor="X50dbfd4a8675c141f9891959bf8d7e4a49e0bc9">
        <w:r>
          <w:rPr>
            <w:rStyle w:val="Hyperlink"/>
          </w:rPr>
          <w:t xml:space="preserve">Предметная область и глоссарий</w:t>
        </w:r>
      </w:hyperlink>
    </w:p>
    <w:p>
      <w:pPr>
        <w:pStyle w:val="Compact"/>
        <w:numPr>
          <w:ilvl w:val="0"/>
          <w:numId w:val="1001"/>
        </w:numPr>
      </w:pPr>
      <w:hyperlink w:anchor="X4e10494ced32d33a13a5d7e255c59d919c21d43">
        <w:r>
          <w:rPr>
            <w:rStyle w:val="Hyperlink"/>
          </w:rPr>
          <w:t xml:space="preserve">Моделирование ключевого процесса: AS-IS и TO-BE</w:t>
        </w:r>
      </w:hyperlink>
    </w:p>
    <w:p>
      <w:pPr>
        <w:pStyle w:val="Compact"/>
        <w:numPr>
          <w:ilvl w:val="0"/>
          <w:numId w:val="1001"/>
        </w:numPr>
      </w:pPr>
      <w:hyperlink w:anchor="Xcbaa57fd74987dad7928e0ffedc75f0b14010ed">
        <w:r>
          <w:rPr>
            <w:rStyle w:val="Hyperlink"/>
          </w:rPr>
          <w:t xml:space="preserve">Границы системы и внешние взаимодействия</w:t>
        </w:r>
      </w:hyperlink>
    </w:p>
    <w:p>
      <w:pPr>
        <w:pStyle w:val="Compact"/>
        <w:numPr>
          <w:ilvl w:val="0"/>
          <w:numId w:val="1001"/>
        </w:numPr>
      </w:pPr>
      <w:hyperlink w:anchor="X80ef9a72bdf2664087043852d0d4d501bbc94b4">
        <w:r>
          <w:rPr>
            <w:rStyle w:val="Hyperlink"/>
          </w:rPr>
          <w:t xml:space="preserve">Каталог источников данных</w:t>
        </w:r>
      </w:hyperlink>
    </w:p>
    <w:p>
      <w:pPr>
        <w:pStyle w:val="Compact"/>
        <w:numPr>
          <w:ilvl w:val="0"/>
          <w:numId w:val="1001"/>
        </w:numPr>
      </w:pPr>
      <w:hyperlink w:anchor="Xf9c2623bee29476e8e18c83f71cb401190cc8b4">
        <w:r>
          <w:rPr>
            <w:rStyle w:val="Hyperlink"/>
          </w:rPr>
          <w:t xml:space="preserve">Бизнес-правила и системные ограничения</w:t>
        </w:r>
      </w:hyperlink>
    </w:p>
    <w:p>
      <w:pPr>
        <w:pStyle w:val="Compact"/>
        <w:numPr>
          <w:ilvl w:val="0"/>
          <w:numId w:val="1001"/>
        </w:numPr>
      </w:pPr>
      <w:hyperlink w:anchor="X9b23a788801d1950a50ec28b248b7127e67ed75">
        <w:r>
          <w:rPr>
            <w:rStyle w:val="Hyperlink"/>
          </w:rPr>
          <w:t xml:space="preserve">Контекстная диаграмма системы (C4 Context)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6" w:name="карта-стейкхолдеров-и-их-цели"/>
    <w:p>
      <w:pPr>
        <w:pStyle w:val="Heading2"/>
      </w:pPr>
      <w:r>
        <w:t xml:space="preserve">1. Карта стейкхолдеров и их цели</w:t>
      </w:r>
    </w:p>
    <w:p>
      <w:pPr>
        <w:pStyle w:val="FirstParagraph"/>
      </w:pPr>
      <w:r>
        <w:t xml:space="preserve">В проекте выделены внутренние пользователи компании-клиента (инженерный и управленческий контур), внешние регулирующие роли, а также академический стейкхолдер дисциплины.</w:t>
      </w:r>
    </w:p>
    <w:bookmarkStart w:id="11" w:name="X937e1f7ec19ebaab03a284e3fd023ad1c987fd6"/>
    <w:p>
      <w:pPr>
        <w:pStyle w:val="Heading3"/>
      </w:pPr>
      <w:r>
        <w:t xml:space="preserve">1.1. Матрица заинтересованных сторон (Роли, интересы, влияние)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1056"/>
        <w:gridCol w:w="1056"/>
        <w:gridCol w:w="1056"/>
        <w:gridCol w:w="1320"/>
        <w:gridCol w:w="1320"/>
        <w:gridCol w:w="1056"/>
        <w:gridCol w:w="1056"/>
      </w:tblGrid>
      <w:tr>
        <w:trPr>
          <w:tblHeader w:val="on"/>
          <w:cantSplit/>
        </w:trPr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Роль / Стейкхолдер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Категория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Основные интересы и боли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b/>
                <w:color w:val="24292F"/>
              </w:rPr>
              <w:t xml:space="preserve">Влияние на проект (Power)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b/>
                <w:color w:val="24292F"/>
              </w:rPr>
              <w:t xml:space="preserve">Интерес к результату (Interest)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Ожидания от EcoGrid Flow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Критерии успеха (Success Metrics)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DataOps / Data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пользователь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десятков тяжелых ETL/ELT-пайплайнов (Spark, dbt); риск срыва утреннего дедлайна (SLA витрин DWH).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Простой REST API (</w:t>
            </w:r>
            <w:r>
              <w:rPr>
                <w:rStyle w:val="VerbatimChar"/>
              </w:rPr>
              <w:t xml:space="preserve">/recommendations</w:t>
            </w:r>
            <w:r>
              <w:t xml:space="preserve">) для оркестратора (Airflow); 100% гарантия завершения до дедлайна.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сорванных SLA; задержка API &lt; 200 мс; прозрачная интеграция через Airflow.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FinOps-менеджер / CFO / 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заказчик (Бизнес)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Неконтролируемый рост счетов за электроэнергию серверов и облака; отсутствие прозрачной аналитики расходов.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Наглядный Web-дашборд со сводкой сэкономленных бюджетов в сравнении со статическим расписанием (cron).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Подтвержденное снижение OPEX на вычисления на 30–75%; детальный финансовый аудит.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Преподаватель дисциплины (Хасанов И. И.)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Академический стейкхолдер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соответствия проекта профилю «Инженерия данных» и стандартам программной инженерии.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четких требований, валидации данных, партиционированной БД, соблюдения Agile/Kanban процессов.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Выполнение требований семинаров, обоснованность архитектуры, готовность MVP Release 50%.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Служба информационной безопасности (ИБ / InfoSec)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 утечки конфиденциальной топологии сети и метаданных во внешний интернет; комплаенс On-Premise.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Строгая сетевая изоляция в контуре VPC; отсутствие исходящих запросов с внутренними данными клиентов.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Отсутствие замечаний службы безопасности; zero outbound data leaks; аудит Docker-окружения.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/ DevOps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 и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Стабильность хостов и серверов; недопустимость перегрузки серверного оборудования и скачков напряжения.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Поставка в виде автономного Docker Compose; работа без передачи внутренних логов наружу (On-Premise).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Изоляция внутренней инфраструктуры; стабильность контейнеров; предсказуемое потребление ресурсов.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MLOps / ML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Первичный пользователь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стоимость обучения LLM / CV-моделей на GPU; необходимость гибкого переноса нагрузки между доступными ЦОД.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не только времени, но и локации (Geo-Arbitrage) с оценкой экономии перед стартом.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затрат на обучение моделей на 40–60%; наглядный симулятор в Web UI.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ESG-директор / Sustainability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Корпоративный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европейского и корпоративного ESG-аудита (Scope 2 Emissions, углеродный след вычислений).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Средний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Автоматическая выгрузка отчетов о сокращении выбросов CO₂ за счет сдвига задач в часы зеленой генерации.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Достоверная оценка граммов CO₂/кВт⋅ч на задачу; соответствие ESG-отчетности.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Junior Data / ML-инженеры (Стажеры)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Долгое ожидание завершения ресурсоемких экспериментов и обучающих запусков без влияния на инфраструктуру.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интерфейс симулятора для оценки затрат на экспериментальные прогоны задач.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Понятные подсказки в веб-симуляторе; ускорение валидации гипотез.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Конечные бизнес-пользователи BI-отчетов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Косвенные пользователи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Своевременность готовности ежедневных аналитических отчетов и витрин к началу рабочего дня (09:00).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Гарантированное завершение расчетов до дедлайна; расписание фоновых оптимизаций не должно ломать дашборды.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отчетов готовы вовремя; отсутствие простоев бизнеса.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Дежурная служба техподдержки L1 / Helpdesk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Эксплуатационное сопровождение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Наплыв ночных инцидентов и ложных алертов при нестандартном сдвиге времени старта вычислительных задач.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Низкое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Прозрачное логирование причин переноса времени старта задачи в Airflow; отсутствие ложных алертов.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Готовый runbook с регламентом работы оптимизатора; отсутствие лишних ночных вызовов дежурных инженеров.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карта-стейкхолдеров-power-interest-grid"/>
    <w:p>
      <w:pPr>
        <w:pStyle w:val="Heading3"/>
      </w:pPr>
      <w:r>
        <w:t xml:space="preserve">1.2. Карта стейкхолдеров (Power / Interest Grid)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Рисунок 1. Процесс AS-IS («Как есть») — Моделирование текущего состояния" title="" id="13" name="Picture"/>
            <a:graphic>
              <a:graphicData uri="http://schemas.openxmlformats.org/drawingml/2006/picture">
                <pic:pic>
                  <pic:nvPicPr>
                    <pic:cNvPr descr="/Users/bogdanleonov/.gemini/antigravity-ide/brain/afda694d-daf5-4b47-b0fb-40820f2ae45e/scratch/sem3_diag_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1. Процесс AS-IS («Как есть») — Моделирование текущего состояния</w:t>
      </w:r>
    </w:p>
    <w:p>
      <w:pPr>
        <w:pStyle w:val="BodyText"/>
      </w:pPr>
      <w:r>
        <w:rPr>
          <w:i/>
          <w:iCs/>
        </w:rPr>
        <w:t xml:space="preserve">Рисунок 1. Процесс AS-IS («Как есть») — Моделирование текущего состояния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предметная-область-и-глоссарий"/>
    <w:p>
      <w:pPr>
        <w:pStyle w:val="Heading2"/>
      </w:pPr>
      <w:r>
        <w:t xml:space="preserve">2. Предметная область и глоссарий</w:t>
      </w:r>
    </w:p>
    <w:p>
      <w:pPr>
        <w:pStyle w:val="FirstParagraph"/>
      </w:pPr>
      <w:r>
        <w:t xml:space="preserve">Предметная область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 </w:t>
      </w:r>
      <w:r>
        <w:t xml:space="preserve">находится на стыке оптовых рынков электроэнергии, физики охлаждения дата-центров и диспетчеризации пакетных вычислений.</w:t>
      </w:r>
    </w:p>
    <w:bookmarkStart w:id="17" w:name="рынок-электроэнергии-energy-market"/>
    <w:p>
      <w:pPr>
        <w:pStyle w:val="Heading3"/>
      </w:pPr>
      <w:r>
        <w:t xml:space="preserve">2.1. Рынок электроэнергии (Energy Market)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Day-Ahead Market (Рынок на сутки вперед):</w:t>
      </w:r>
      <w:r>
        <w:t xml:space="preserve"> </w:t>
      </w:r>
      <w:r>
        <w:t xml:space="preserve">Оптовый рынок электроэнергии, торги на котором закрываются в 12:00–13:00 CET за день до фактической поставки. На каждый час следующих суток формируется фиксированная спотовая цена.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Спотовая цена (Spot Price, EUR/MWh):</w:t>
      </w:r>
      <w:r>
        <w:t xml:space="preserve"> </w:t>
      </w:r>
      <w:r>
        <w:t xml:space="preserve">Рыночная цена одного мегаватт-часа электроэнергии в конкретной ценовой зоне на определенный временной интервал.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Отрицательные цены (Negative Pricing):</w:t>
      </w:r>
      <w:r>
        <w:t xml:space="preserve"> </w:t>
      </w:r>
      <w:r>
        <w:t xml:space="preserve">Рыночная аномалия, возникающая при избыточной выработке солнечной и ветровой энергии (ВИЭ) в сочетании с низким потреблением. В эти часы производители электроэнергии доплачивают потребителям за утилизацию избытка мощности.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Ценовая зона (Bidding Zone):</w:t>
      </w:r>
      <w:r>
        <w:t xml:space="preserve"> </w:t>
      </w:r>
      <w:r>
        <w:t xml:space="preserve">Географическая зона энергосистемы с единой оптовой ценой на электроэнергию (например,</w:t>
      </w:r>
      <w:r>
        <w:t xml:space="preserve"> </w:t>
      </w:r>
      <w:r>
        <w:rPr>
          <w:rStyle w:val="VerbatimChar"/>
        </w:rPr>
        <w:t xml:space="preserve">DE-LU</w:t>
      </w:r>
      <w:r>
        <w:t xml:space="preserve"> </w:t>
      </w:r>
      <w:r>
        <w:t xml:space="preserve">— Германия/Люксембург,</w:t>
      </w:r>
      <w:r>
        <w:t xml:space="preserve"> </w:t>
      </w:r>
      <w:r>
        <w:rPr>
          <w:rStyle w:val="VerbatimChar"/>
        </w:rPr>
        <w:t xml:space="preserve">FI</w:t>
      </w:r>
      <w:r>
        <w:t xml:space="preserve"> </w:t>
      </w:r>
      <w:r>
        <w:t xml:space="preserve">— Финляндия,</w:t>
      </w:r>
      <w:r>
        <w:t xml:space="preserve"> </w:t>
      </w:r>
      <w:r>
        <w:rPr>
          <w:rStyle w:val="VerbatimChar"/>
        </w:rPr>
        <w:t xml:space="preserve">SE3</w:t>
      </w:r>
      <w:r>
        <w:t xml:space="preserve"> </w:t>
      </w:r>
      <w:r>
        <w:t xml:space="preserve">— Швеция Стокгольм).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ENTSO-E (European Network of Transmission System Operators for Electricity):</w:t>
      </w:r>
      <w:r>
        <w:t xml:space="preserve"> </w:t>
      </w:r>
      <w:r>
        <w:t xml:space="preserve">Европейская сеть системных операторов передачи электроэнергии. Предоставляет единую платформу прозрачности (</w:t>
      </w:r>
      <w:r>
        <w:rPr>
          <w:i/>
          <w:iCs/>
        </w:rPr>
        <w:t xml:space="preserve">ENTSO-E Transparency Platform</w:t>
      </w:r>
      <w:r>
        <w:t xml:space="preserve">) с открытыми API котировок и структуры генерации.</w:t>
      </w:r>
    </w:p>
    <w:bookmarkEnd w:id="17"/>
    <w:bookmarkStart w:id="18" w:name="X7f209dd57450701bc756be107d5f980ead83d1c"/>
    <w:p>
      <w:pPr>
        <w:pStyle w:val="Heading3"/>
      </w:pPr>
      <w:r>
        <w:t xml:space="preserve">2.2. Физика и инфраструктура ЦОД (Datacenter &amp; Energy Efficiency)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Дата-центр (ЦОД):</w:t>
      </w:r>
      <w:r>
        <w:t xml:space="preserve"> </w:t>
      </w:r>
      <w:r>
        <w:t xml:space="preserve">Серверная площадка с вычислительным оборудованием клиента. В контексте системы ЦОД характеризуется географическими координатами, доступной мощностью (кВт) и климатическим профилем.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PUE (Power Usage Effectiveness):</w:t>
      </w:r>
      <w:r>
        <w:t xml:space="preserve"> </w:t>
      </w:r>
      <w:r>
        <w:t xml:space="preserve">Коэффициент энергоэффективности дата-центра:</w:t>
      </w:r>
      <w:r>
        <w:br/>
      </w:r>
      <w:r>
        <w:rPr>
          <w:rStyle w:val="VerbatimChar"/>
        </w:rPr>
        <w:t xml:space="preserve">PUE = E_total / E_IT ≥ 1.0</w:t>
      </w:r>
      <w:r>
        <w:br/>
      </w:r>
      <w:r>
        <w:t xml:space="preserve">где</w:t>
      </w:r>
      <w:r>
        <w:t xml:space="preserve"> </w:t>
      </w:r>
      <w:r>
        <w:rPr>
          <w:rStyle w:val="VerbatimChar"/>
        </w:rPr>
        <w:t xml:space="preserve">E_total</w:t>
      </w:r>
      <w:r>
        <w:t xml:space="preserve"> </w:t>
      </w:r>
      <w:r>
        <w:t xml:space="preserve">— общая потребляемая энергия дата-центра,</w:t>
      </w:r>
      <w:r>
        <w:t xml:space="preserve"> </w:t>
      </w:r>
      <w:r>
        <w:rPr>
          <w:rStyle w:val="VerbatimChar"/>
        </w:rPr>
        <w:t xml:space="preserve">E_IT</w:t>
      </w:r>
      <w:r>
        <w:t xml:space="preserve"> </w:t>
      </w:r>
      <w:r>
        <w:t xml:space="preserve">— энергия, потребленная вычислительным IT-оборудованием.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Динамический PUE (Dynamic PUE):</w:t>
      </w:r>
      <w:r>
        <w:t xml:space="preserve"> </w:t>
      </w:r>
      <w:r>
        <w:t xml:space="preserve">Модель коэффициента энергоэффективности, зависящая от температуры окружающей среды: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Free Cooling (Фрикулинг):</w:t>
      </w:r>
      <w:r>
        <w:t xml:space="preserve"> </w:t>
      </w:r>
      <w:r>
        <w:t xml:space="preserve">При низкой уличной температуре (T ≤ 15°C) серверы охлаждаются забортным воздухом. PUE минимален (≈ 1.12 – 1.18).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Mechanical Chiller (Чиллерное охлаждение):</w:t>
      </w:r>
      <w:r>
        <w:t xml:space="preserve"> </w:t>
      </w:r>
      <w:r>
        <w:t xml:space="preserve">При жаре (T ≥ 25°C) включаются энергоемкие холодильные компрессоры, повышая PUE до 1.40 – 1.55 (+35% к счету за электричество).</w:t>
      </w:r>
    </w:p>
    <w:bookmarkEnd w:id="18"/>
    <w:bookmarkStart w:id="19" w:name="Xa1ab99bcbdca92aef21a85cb51da76930186e80"/>
    <w:p>
      <w:pPr>
        <w:pStyle w:val="Heading3"/>
      </w:pPr>
      <w:r>
        <w:t xml:space="preserve">2.3. Вычислительная нагрузка и оптимизация (Workload &amp; Optimization)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Batch-вычисления (Пакетная задача):</w:t>
      </w:r>
      <w:r>
        <w:t xml:space="preserve"> </w:t>
      </w:r>
      <w:r>
        <w:t xml:space="preserve">Длительная серверная задача (обучение нейросети, построение витрин dbt, бэкап, рендеринг), не требующая мгновенного синхронного ответа пользователю и допускающая сдвиг времени старта при условии завершения к дедлайну.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Non-preemptive задача:</w:t>
      </w:r>
      <w:r>
        <w:t xml:space="preserve"> </w:t>
      </w:r>
      <w:r>
        <w:t xml:space="preserve">Неделимая вычислительная задача, которая после старта должна выполняться непрерывно N часов без пауз и перезапусков.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SLA Дедлайн (Deadline):</w:t>
      </w:r>
      <w:r>
        <w:t xml:space="preserve"> </w:t>
      </w:r>
      <w:r>
        <w:t xml:space="preserve">Предельное время в UTC, до наступления которого задача обязана быть гарантированно завершена.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Geo-Arbitrage (Пространственно-временной арбитраж):</w:t>
      </w:r>
      <w:r>
        <w:t xml:space="preserve"> </w:t>
      </w:r>
      <w:r>
        <w:t xml:space="preserve">Алгоритмический выбор наилучшей комбинации</w:t>
      </w:r>
      <w:r>
        <w:t xml:space="preserve"> </w:t>
      </w:r>
      <w:r>
        <w:rPr>
          <w:b/>
          <w:bCs/>
        </w:rPr>
        <w:t xml:space="preserve">«Временной слот запуска + Локация дата-центра»</w:t>
      </w:r>
      <w:r>
        <w:t xml:space="preserve"> </w:t>
      </w:r>
      <w:r>
        <w:t xml:space="preserve">для минимизации совокупных расходов на электроэнергию и охлаждение.</w:t>
      </w:r>
    </w:p>
    <w:bookmarkEnd w:id="19"/>
    <w:bookmarkStart w:id="20" w:name="X1a29e18429c6ae4c4fef43683dd59b5e5570524"/>
    <w:p>
      <w:pPr>
        <w:pStyle w:val="Heading3"/>
      </w:pPr>
      <w:r>
        <w:t xml:space="preserve">2.4. Архитектурный периметр (Architecture &amp; Security)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On-Premise контур (VPC):</w:t>
      </w:r>
      <w:r>
        <w:t xml:space="preserve"> </w:t>
      </w:r>
      <w:r>
        <w:t xml:space="preserve">Развертывание системы в изолированной корпоративной сети клиента. Гарантирует, что данные об оборудовании, проектах и серверных логах не передаются третьим сторонам.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4" w:name="Xc37382924cc657026b672b0aa555002e2425106"/>
    <w:p>
      <w:pPr>
        <w:pStyle w:val="Heading2"/>
      </w:pPr>
      <w:r>
        <w:t xml:space="preserve">3. Моделирование ключевого процесса: AS-IS и TO-BE</w:t>
      </w:r>
    </w:p>
    <w:p>
      <w:pPr>
        <w:pStyle w:val="FirstParagraph"/>
      </w:pPr>
      <w:r>
        <w:t xml:space="preserve">Ключевой сквозной процесс:</w:t>
      </w:r>
      <w:r>
        <w:t xml:space="preserve"> </w:t>
      </w:r>
      <w:r>
        <w:rPr>
          <w:b/>
          <w:bCs/>
        </w:rPr>
        <w:t xml:space="preserve">«Планирование, диспетчеризация и запуск ресурсоемких пакетных вычислений (Data/ML pipelines)»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7" w:name="процесс-as-is-как-есть"/>
    <w:p>
      <w:pPr>
        <w:pStyle w:val="Heading3"/>
      </w:pPr>
      <w:r>
        <w:t xml:space="preserve">3.1. Процесс AS-IS («Как есть»)</w:t>
      </w:r>
    </w:p>
    <w:bookmarkStart w:id="25" w:name="описание-текущего-состояния"/>
    <w:p>
      <w:pPr>
        <w:pStyle w:val="Heading4"/>
      </w:pPr>
      <w:r>
        <w:t xml:space="preserve">Описание текущего состояния:</w:t>
      </w:r>
    </w:p>
    <w:p>
      <w:pPr>
        <w:pStyle w:val="Compact"/>
        <w:numPr>
          <w:ilvl w:val="0"/>
          <w:numId w:val="1007"/>
        </w:numPr>
      </w:pPr>
      <w:r>
        <w:t xml:space="preserve">Инженер разрабатывает тяжелый пайплайн (Spark/dbt/PyTorch).</w:t>
      </w:r>
    </w:p>
    <w:p>
      <w:pPr>
        <w:pStyle w:val="Compact"/>
        <w:numPr>
          <w:ilvl w:val="0"/>
          <w:numId w:val="1007"/>
        </w:numPr>
      </w:pPr>
      <w:r>
        <w:t xml:space="preserve">Расписание жестко фиксируется в планировщике (</w:t>
      </w:r>
      <w:r>
        <w:rPr>
          <w:rStyle w:val="VerbatimChar"/>
        </w:rPr>
        <w:t xml:space="preserve">cron</w:t>
      </w:r>
      <w:r>
        <w:t xml:space="preserve"> </w:t>
      </w:r>
      <w:r>
        <w:t xml:space="preserve">или DAG в Airflow) на статическое «типичное ночное время» (например, 02:00 UTC).</w:t>
      </w:r>
    </w:p>
    <w:p>
      <w:pPr>
        <w:pStyle w:val="Compact"/>
        <w:numPr>
          <w:ilvl w:val="0"/>
          <w:numId w:val="1007"/>
        </w:numPr>
      </w:pPr>
      <w:r>
        <w:t xml:space="preserve">Площадка исполнения жестко захардкожена на «домашний» сервер/кластер (например, Франкфурт).</w:t>
      </w:r>
    </w:p>
    <w:p>
      <w:pPr>
        <w:pStyle w:val="Compact"/>
        <w:numPr>
          <w:ilvl w:val="0"/>
          <w:numId w:val="1007"/>
        </w:numPr>
      </w:pPr>
      <w:r>
        <w:t xml:space="preserve">Запуск происходит «вслепую» — без учета текущей биржевой ситуации и температуры.</w:t>
      </w:r>
    </w:p>
    <w:p>
      <w:pPr>
        <w:pStyle w:val="Compact"/>
        <w:numPr>
          <w:ilvl w:val="0"/>
          <w:numId w:val="1007"/>
        </w:numPr>
      </w:pPr>
      <w:r>
        <w:t xml:space="preserve">Ночью из-за внезапного штиля в Северном море биржевой тариф взлетает до 180 €/МВт⋅ч (включаются пиковые газовые станции).</w:t>
      </w:r>
    </w:p>
    <w:p>
      <w:pPr>
        <w:pStyle w:val="Compact"/>
        <w:numPr>
          <w:ilvl w:val="0"/>
          <w:numId w:val="1007"/>
        </w:numPr>
      </w:pPr>
      <w:r>
        <w:t xml:space="preserve">В конце расчетного месяца CFO получает счет за электроэнергию и фиксирует огромный перерасход OPEX без возможности понять, какие задачи стали причиной переплаты.</w:t>
      </w:r>
    </w:p>
    <w:p>
      <w:pPr>
        <w:pStyle w:val="CaptionedFigure"/>
      </w:pPr>
      <w:r>
        <w:drawing>
          <wp:inline>
            <wp:extent cx="5334000" cy="1395132"/>
            <wp:effectExtent b="0" l="0" r="0" t="0"/>
            <wp:docPr descr="Рисунок 2. Процесс TO-BE («Как будет») — Оптимизация пакетных вычислительных задач" title="" id="23" name="Picture"/>
            <a:graphic>
              <a:graphicData uri="http://schemas.openxmlformats.org/drawingml/2006/picture">
                <pic:pic>
                  <pic:nvPicPr>
                    <pic:cNvPr descr="/Users/bogdanleonov/.gemini/antigravity-ide/brain/afda694d-daf5-4b47-b0fb-40820f2ae45e/scratch/sem3_diag_2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2. Процесс TO-BE («Как будет») — Оптимизация пакетных вычислительных задач</w:t>
      </w:r>
    </w:p>
    <w:p>
      <w:pPr>
        <w:pStyle w:val="BodyText"/>
      </w:pPr>
      <w:r>
        <w:rPr>
          <w:i/>
          <w:iCs/>
        </w:rPr>
        <w:t xml:space="preserve">Рисунок 2. Процесс TO-BE («Как будет») — Оптимизация пакетных вычислительных задач</w:t>
      </w:r>
    </w:p>
    <w:bookmarkEnd w:id="25"/>
    <w:bookmarkStart w:id="26" w:name="X4c3b5438a59b823f60cd801414012da3c22a80a"/>
    <w:p>
      <w:pPr>
        <w:pStyle w:val="Heading4"/>
      </w:pPr>
      <w:r>
        <w:t xml:space="preserve">Ключевые проблемы и узкие места процесса AS-IS: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Слепой запуск:</w:t>
      </w:r>
      <w:r>
        <w:t xml:space="preserve"> </w:t>
      </w:r>
      <w:r>
        <w:t xml:space="preserve">Планировщик не имеет данных о биржевых тарифах и прогнозах погоды.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Привязка к одной локации:</w:t>
      </w:r>
      <w:r>
        <w:t xml:space="preserve"> </w:t>
      </w:r>
      <w:r>
        <w:t xml:space="preserve">Полное отсутствие географического маневра между филиалами и доступными ЦОД.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Пиковые тарифные ловушки:</w:t>
      </w:r>
      <w:r>
        <w:t xml:space="preserve"> </w:t>
      </w:r>
      <w:r>
        <w:t xml:space="preserve">Высокие ночные цены при безветрии приводят к переплате до 3–4 раз.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Ущерб экологии:</w:t>
      </w:r>
      <w:r>
        <w:t xml:space="preserve"> </w:t>
      </w:r>
      <w:r>
        <w:t xml:space="preserve">Задачи часто запускаются в часы с преобладанием угольно-газовой генерации.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b4920b7514a2608d728e2f6d1be2b83c28943a4"/>
    <w:p>
      <w:pPr>
        <w:pStyle w:val="Heading3"/>
      </w:pPr>
      <w:r>
        <w:t xml:space="preserve">3.2. Процесс TO-BE («Как будет» после внедрения EcoGrid Flow)</w:t>
      </w:r>
    </w:p>
    <w:bookmarkStart w:id="31" w:name="описание-целевого-состояния"/>
    <w:p>
      <w:pPr>
        <w:pStyle w:val="Heading4"/>
      </w:pPr>
      <w:r>
        <w:t xml:space="preserve">Описание целевого состояния:</w:t>
      </w:r>
    </w:p>
    <w:p>
      <w:pPr>
        <w:pStyle w:val="Compact"/>
        <w:numPr>
          <w:ilvl w:val="0"/>
          <w:numId w:val="1009"/>
        </w:numPr>
      </w:pPr>
      <w:r>
        <w:t xml:space="preserve">Фоновый ETL-сервис EcoGrid Flow непрерывно собирает и валидирует Day-Ahead цены ENTSO-E и метеопрогнозы Open-Meteo.</w:t>
      </w:r>
    </w:p>
    <w:p>
      <w:pPr>
        <w:pStyle w:val="Compact"/>
        <w:numPr>
          <w:ilvl w:val="0"/>
          <w:numId w:val="1009"/>
        </w:numPr>
      </w:pPr>
      <w:r>
        <w:t xml:space="preserve">При наступлении готовности пайплайна оркестратор Airflow отправляет в EcoGrid Flow API запрос с метаданными: длительность, мощность, крайний дедлайн (SLA) и список разрешенных ЦОД.</w:t>
      </w:r>
    </w:p>
    <w:p>
      <w:pPr>
        <w:pStyle w:val="Compact"/>
        <w:numPr>
          <w:ilvl w:val="0"/>
          <w:numId w:val="1009"/>
        </w:numPr>
      </w:pPr>
      <w:r>
        <w:t xml:space="preserve">Оптимизационный движок рассчитывает динамический PUE для каждого ЦОД, сопоставляет часовые тарифы скользящим окном и находит глобальный минимум затрат с гарантией соблюдения дедлайна.</w:t>
      </w:r>
    </w:p>
    <w:p>
      <w:pPr>
        <w:pStyle w:val="Compact"/>
        <w:numPr>
          <w:ilvl w:val="0"/>
          <w:numId w:val="1009"/>
        </w:numPr>
      </w:pPr>
      <w:r>
        <w:t xml:space="preserve">Сервис возвращает рекомендацию: запустить задачу в 23:00 в ЦОД Хельсинки (цена 24 €/МВт⋅ч, Free Cooling PUE = 1.15, прогнозируемая экономия 62%).</w:t>
      </w:r>
    </w:p>
    <w:p>
      <w:pPr>
        <w:pStyle w:val="Compact"/>
        <w:numPr>
          <w:ilvl w:val="0"/>
          <w:numId w:val="1009"/>
        </w:numPr>
      </w:pPr>
      <w:r>
        <w:t xml:space="preserve">Airflow откладывает запуск до 23:00 и направляет задачу на вычислительный узел в Хельсинки.</w:t>
      </w:r>
    </w:p>
    <w:p>
      <w:pPr>
        <w:pStyle w:val="Compact"/>
        <w:numPr>
          <w:ilvl w:val="0"/>
          <w:numId w:val="1009"/>
        </w:numPr>
      </w:pPr>
      <w:r>
        <w:t xml:space="preserve">Факт выполнения и параметры экономии автоматически логируются в изолированной PostgreSQL.</w:t>
      </w:r>
    </w:p>
    <w:p>
      <w:pPr>
        <w:pStyle w:val="Compact"/>
        <w:numPr>
          <w:ilvl w:val="0"/>
          <w:numId w:val="1009"/>
        </w:numPr>
      </w:pPr>
      <w:r>
        <w:t xml:space="preserve">FinOps-менеджер в реальном времени видит сэкономленный бюджет и сокращение углеродного следа на дашборде.</w:t>
      </w:r>
    </w:p>
    <w:p>
      <w:pPr>
        <w:pStyle w:val="CaptionedFigure"/>
      </w:pPr>
      <w:r>
        <w:drawing>
          <wp:inline>
            <wp:extent cx="5334000" cy="2286000"/>
            <wp:effectExtent b="0" l="0" r="0" t="0"/>
            <wp:docPr descr="Рисунок 3. Детальная диаграмма последовательности (Sequence Diagram) процесса TO-BE" title="" id="29" name="Picture"/>
            <a:graphic>
              <a:graphicData uri="http://schemas.openxmlformats.org/drawingml/2006/picture">
                <pic:pic>
                  <pic:nvPicPr>
                    <pic:cNvPr descr="/Users/bogdanleonov/.gemini/antigravity-ide/brain/afda694d-daf5-4b47-b0fb-40820f2ae45e/scratch/sem3_diag_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3. Детальная диаграмма последовательности (Sequence Diagram) процесса TO-BE</w:t>
      </w:r>
    </w:p>
    <w:p>
      <w:pPr>
        <w:pStyle w:val="BodyText"/>
      </w:pPr>
      <w:r>
        <w:rPr>
          <w:i/>
          <w:iCs/>
        </w:rPr>
        <w:t xml:space="preserve">Рисунок 3. Детальная диаграмма последовательности (Sequence Diagram) процесса TO-BE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04d200f8e4139a79cc87b566401fd6226226c16"/>
    <w:p>
      <w:pPr>
        <w:pStyle w:val="Heading3"/>
      </w:pPr>
      <w:r>
        <w:t xml:space="preserve">3.3. Содержательное сравнение процессов AS-IS и TO-BE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Критерий сравнения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Процесс AS-IS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Процесс TO-BE (EcoGrid Flow)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Эффект для бизнеса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Принцип выбора времени старта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Статический</w:t>
            </w:r>
            <w:r>
              <w:t xml:space="preserve"> </w:t>
            </w:r>
            <w:r>
              <w:rPr>
                <w:rStyle w:val="VerbatimChar"/>
              </w:rPr>
              <w:t xml:space="preserve">cron</w:t>
            </w:r>
            <w:r>
              <w:t xml:space="preserve"> </w:t>
            </w:r>
            <w:r>
              <w:t xml:space="preserve">(жестко заданный час, «вслепую»).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 поиск окна минимальной совокупной цены под SLA дедлайн.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Исключение попадания в часы пиковых биржевых тарифов.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Выбор площадки (ЦОД)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Захардкоженная домашняя локация (без маневра).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Алгоритмический пространственный арбитраж (</w:t>
            </w:r>
            <w:r>
              <w:rPr>
                <w:b/>
                <w:bCs/>
              </w:rPr>
              <w:t xml:space="preserve">Geo-Arbitrage</w:t>
            </w:r>
            <w:r>
              <w:t xml:space="preserve">) между доступными ЦОД.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стоимости МВт⋅ч в 2–4 раза за счет разницы тарифов между странами.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Учет физики охлаждения (PUE)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Игнорируется (принимается как константа).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 расчет</w:t>
            </w:r>
            <w:r>
              <w:t xml:space="preserve"> </w:t>
            </w:r>
            <w:r>
              <w:rPr>
                <w:rStyle w:val="VerbatimChar"/>
              </w:rPr>
              <w:t xml:space="preserve">PUE(T_street)</w:t>
            </w:r>
            <w:r>
              <w:t xml:space="preserve"> </w:t>
            </w:r>
            <w:r>
              <w:t xml:space="preserve">на базе прогноза температуры около ЦОД.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Дополнительная экономия 15–30% на кондиционировании за счет Free Cooling.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Гарантия дедлайна (SLA)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контролируется относительно внешних факторов.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Жесткое ограничение алгоритма:</w:t>
            </w:r>
            <w:r>
              <w:t xml:space="preserve"> </w:t>
            </w:r>
            <w:r>
              <w:rPr>
                <w:rStyle w:val="VerbatimChar"/>
              </w:rPr>
              <w:t xml:space="preserve">t_start + t_duration ≤ deadline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Исключение срыва утренних бизнес-отчетов и расписаний.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Прозрачность затрат (FinOps)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Постфактум в общем счете раз в месяц без детализации.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Прозрачный расчет стоимости каждой задачи и подтвержденная экономия в Web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Точный биллинг команд и обоснование ROI перед руководством.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Углеродный след (ESG)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Случайный, часто в часы грязной генерации.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Смещение задач в часы профицита солнечной и ветровой энергии (ВИЭ).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корпоративных выбросов CO₂ (Scope 2) до 50%.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границы-системы-и-внешние-взаимодействия"/>
    <w:p>
      <w:pPr>
        <w:pStyle w:val="Heading2"/>
      </w:pPr>
      <w:r>
        <w:t xml:space="preserve">4. Границы системы и внешние взаимодействия</w:t>
      </w:r>
    </w:p>
    <w:p>
      <w:pPr>
        <w:pStyle w:val="FirstParagraph"/>
      </w:pPr>
      <w:r>
        <w:t xml:space="preserve">Концепция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 </w:t>
      </w:r>
      <w:r>
        <w:t xml:space="preserve">базируется на принципе изолированного развертывания (</w:t>
      </w:r>
      <w:r>
        <w:rPr>
          <w:b/>
          <w:bCs/>
        </w:rPr>
        <w:t xml:space="preserve">On-Premise / Private VPC</w:t>
      </w:r>
      <w:r>
        <w:t xml:space="preserve">). Система четко разделяет внутренний контур компании и внешний интернет.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ВНЕШНИЙ ИНТЕРНЕТ (Публичные открытые сервисы)                                          │</w:t>
      </w:r>
      <w:r>
        <w:br/>
      </w:r>
      <w:r>
        <w:rPr>
          <w:rStyle w:val="VerbatimChar"/>
        </w:rPr>
        <w:t xml:space="preserve">│  [ENTSO-E Transparency Platform API]            [Open-Meteo Weather API]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└─────────────────────────────────┬──────────────────────────────────┬───────────────────┘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 HTTPS (XML)                      │ HTTPS (JSON)</w:t>
      </w:r>
      <w:r>
        <w:br/>
      </w:r>
      <w:r>
        <w:rPr>
          <w:rStyle w:val="VerbatimChar"/>
        </w:rPr>
        <w:t xml:space="preserve">                                  ▼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КОРПОРАТИВНЫЙ ON-PREMISE КОНТУР КОМПАНИИ (VPC)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ГРАНИЦА СИСТЕМЫ ECOGRID FLOW (Docker Compose)                                  │   │</w:t>
      </w:r>
      <w:r>
        <w:br/>
      </w:r>
      <w:r>
        <w:rPr>
          <w:rStyle w:val="VerbatimChar"/>
        </w:rPr>
        <w:t xml:space="preserve">│   │                                                                                │   │</w:t>
      </w:r>
      <w:r>
        <w:br/>
      </w:r>
      <w:r>
        <w:rPr>
          <w:rStyle w:val="VerbatimChar"/>
        </w:rPr>
        <w:t xml:space="preserve">│   │   [Ingestion Layer] ──► [Data Quality Gate] ──► [PostgreSQL Timeseries]        │   │</w:t>
      </w:r>
      <w:r>
        <w:br/>
      </w:r>
      <w:r>
        <w:rPr>
          <w:rStyle w:val="VerbatimChar"/>
        </w:rPr>
        <w:t xml:space="preserve">│   │   (ETL-воркеры)         (валидация пропусков)    (market &amp; weather data)       │   │</w:t>
      </w:r>
      <w:r>
        <w:br/>
      </w:r>
      <w:r>
        <w:rPr>
          <w:rStyle w:val="VerbatimChar"/>
        </w:rPr>
        <w:t xml:space="preserve">│   │                                                          ▲                     │   │</w:t>
      </w:r>
      <w:r>
        <w:br/>
      </w:r>
      <w:r>
        <w:rPr>
          <w:rStyle w:val="VerbatimChar"/>
        </w:rPr>
        <w:t xml:space="preserve">│   │                                                          │ SQL                 │   │</w:t>
      </w:r>
      <w:r>
        <w:br/>
      </w:r>
      <w:r>
        <w:rPr>
          <w:rStyle w:val="VerbatimChar"/>
        </w:rPr>
        <w:t xml:space="preserve">│   │                                                          ▼                     │   │</w:t>
      </w:r>
      <w:r>
        <w:br/>
      </w:r>
      <w:r>
        <w:rPr>
          <w:rStyle w:val="VerbatimChar"/>
        </w:rPr>
        <w:t xml:space="preserve">│   │   [FastAPI Gateway] ◄─────────────────────────► [Optimization Engine]          │   │</w:t>
      </w:r>
      <w:r>
        <w:br/>
      </w:r>
      <w:r>
        <w:rPr>
          <w:rStyle w:val="VerbatimChar"/>
        </w:rPr>
        <w:t xml:space="preserve">│   │   (/recommendations)                            (Dynamic PUE + Geo-Arbitrage)  │   │</w:t>
      </w:r>
      <w:r>
        <w:br/>
      </w:r>
      <w:r>
        <w:rPr>
          <w:rStyle w:val="VerbatimChar"/>
        </w:rPr>
        <w:t xml:space="preserve">│   │           ▲                                                                    │   │</w:t>
      </w:r>
      <w:r>
        <w:br/>
      </w:r>
      <w:r>
        <w:rPr>
          <w:rStyle w:val="VerbatimChar"/>
        </w:rPr>
        <w:t xml:space="preserve">│   │           │ REST / JSON                                                        │   │</w:t>
      </w:r>
      <w:r>
        <w:br/>
      </w:r>
      <w:r>
        <w:rPr>
          <w:rStyle w:val="VerbatimChar"/>
        </w:rPr>
        <w:t xml:space="preserve">│   │           ▼                                                                    │   │</w:t>
      </w:r>
      <w:r>
        <w:br/>
      </w:r>
      <w:r>
        <w:rPr>
          <w:rStyle w:val="VerbatimChar"/>
        </w:rPr>
        <w:t xml:space="preserve">│   │   [React Web Portal] (Карта цен, симулятор задач, FinOps-дашборд)              │   │</w:t>
      </w:r>
      <w:r>
        <w:br/>
      </w:r>
      <w:r>
        <w:rPr>
          <w:rStyle w:val="VerbatimChar"/>
        </w:rPr>
        <w:t xml:space="preserve">│   └───────────▲────────────────────────────────────────────────────────────────────┘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│                                                                        │</w:t>
      </w:r>
      <w:r>
        <w:br/>
      </w:r>
      <w:r>
        <w:rPr>
          <w:rStyle w:val="VerbatimChar"/>
        </w:rPr>
        <w:t xml:space="preserve">│               │ REST API / Web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┌───────────┴────────────────────────────────────────────────────────────────────┐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 │ ВНУТРЕННИЕ СИСТЕМЫ И ПОЛЬЗОВАТЕЛИ КЛИЕНТА (Out of System Scope)                │   │</w:t>
      </w:r>
      <w:r>
        <w:br/>
      </w:r>
      <w:r>
        <w:rPr>
          <w:rStyle w:val="VerbatimChar"/>
        </w:rPr>
        <w:t xml:space="preserve">│   │   • Оркестраторы: Apache Airflow / Kubeflow / Cron                             │   │</w:t>
      </w:r>
      <w:r>
        <w:br/>
      </w:r>
      <w:r>
        <w:rPr>
          <w:rStyle w:val="VerbatimChar"/>
        </w:rPr>
        <w:t xml:space="preserve">│   │   • Вычислительная инфраструктура: GPU-кластеры и серверы в ЦОД                │   │</w:t>
      </w:r>
      <w:r>
        <w:br/>
      </w:r>
      <w:r>
        <w:rPr>
          <w:rStyle w:val="VerbatimChar"/>
        </w:rPr>
        <w:t xml:space="preserve">│   │   • Пользователи: DataOps, MLOps, FinOps-менеджеры, Руководство                │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35" w:name="X2598c65f7cfddb0f2442ded2423553fc6712363"/>
    <w:p>
      <w:pPr>
        <w:pStyle w:val="Heading3"/>
      </w:pPr>
      <w:r>
        <w:t xml:space="preserve">4.1. Что входит в границы системы EcoGrid Flow (In-Scope):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Ingestion Layer:</w:t>
      </w:r>
      <w:r>
        <w:t xml:space="preserve"> </w:t>
      </w:r>
      <w:r>
        <w:t xml:space="preserve">Модули автоматической загрузки и парсинга Day-Ahead котировок (XML) и метеопрогнозов (JSON).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Quality Module:</w:t>
      </w:r>
      <w:r>
        <w:t xml:space="preserve"> </w:t>
      </w:r>
      <w:r>
        <w:t xml:space="preserve">Контроль целостности, фильтрация аномалий, дедупликация и нормализация временных меток к UTC.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Storage Layer:</w:t>
      </w:r>
      <w:r>
        <w:t xml:space="preserve"> </w:t>
      </w:r>
      <w:r>
        <w:t xml:space="preserve">Локальная база данных PostgreSQL 16 с обязательным партиционированием таблиц временных рядов (7 таблиц:</w:t>
      </w:r>
      <w:r>
        <w:t xml:space="preserve"> </w:t>
      </w:r>
      <w:r>
        <w:rPr>
          <w:rStyle w:val="VerbatimChar"/>
        </w:rPr>
        <w:t xml:space="preserve">market_day_ahead_prices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market_generation_mix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weather_historical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client_infrastructure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task_parameters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task_history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Optimization Core:</w:t>
      </w:r>
      <w:r>
        <w:t xml:space="preserve"> </w:t>
      </w:r>
      <w:r>
        <w:t xml:space="preserve">Вычислительный модуль расчета динамического PUE и алгоритм скользящего окна пространственно-временного арбитража.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Gateway:</w:t>
      </w:r>
      <w:r>
        <w:t xml:space="preserve"> </w:t>
      </w:r>
      <w:r>
        <w:t xml:space="preserve">Защищенный внутренний REST API на FastAPI для интеграции с корпоративными планировщиками.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 UI:</w:t>
      </w:r>
      <w:r>
        <w:t xml:space="preserve"> </w:t>
      </w:r>
      <w:r>
        <w:t xml:space="preserve">Пользовательский веб-портал на React для визуализации тарифов, ручного моделирования задач и FinOps-отчетности.</w:t>
      </w:r>
    </w:p>
    <w:bookmarkEnd w:id="35"/>
    <w:bookmarkStart w:id="36" w:name="X24b5863cd39dacbc51e01cc7944380c34dc404f"/>
    <w:p>
      <w:pPr>
        <w:pStyle w:val="Heading3"/>
      </w:pPr>
      <w:r>
        <w:t xml:space="preserve">4.2. Внешние системы и зависимости (External / Out-of-Scope):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ENTSO-E Transparency Platform:</w:t>
      </w:r>
      <w:r>
        <w:t xml:space="preserve"> </w:t>
      </w:r>
      <w:r>
        <w:t xml:space="preserve">Внешний поставщик открытых рыночных данных энергосистемы Европы (доступ по HTTPS через токен).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Open-Meteo API:</w:t>
      </w:r>
      <w:r>
        <w:t xml:space="preserve"> </w:t>
      </w:r>
      <w:r>
        <w:t xml:space="preserve">Внешний открытый метеорологический сервис (доступ по HTTPS по координатам площадок).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Корпоративные оркестраторы (Airflow, Slurm):</w:t>
      </w:r>
      <w:r>
        <w:t xml:space="preserve"> </w:t>
      </w:r>
      <w:r>
        <w:t xml:space="preserve">Внешние по отношению к сервису клиенты, инициирующие запросы на оптимизацию и фактически исполняющие вычисления.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Серверная инфраструктура ЦОД:</w:t>
      </w:r>
      <w:r>
        <w:t xml:space="preserve"> </w:t>
      </w:r>
      <w:r>
        <w:t xml:space="preserve">Физические серверы и GPU-ноды, на которых выполняются целевые задачи. EcoGrid Flow</w:t>
      </w:r>
      <w:r>
        <w:t xml:space="preserve"> </w:t>
      </w:r>
      <w:r>
        <w:rPr>
          <w:b/>
          <w:bCs/>
        </w:rPr>
        <w:t xml:space="preserve">не управляет питанием серверов напрямую</w:t>
      </w:r>
      <w:r>
        <w:t xml:space="preserve"> </w:t>
      </w:r>
      <w:r>
        <w:t xml:space="preserve">в рамках MVP, а выдает аналитические рекомендации.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каталог-источников-данных"/>
    <w:p>
      <w:pPr>
        <w:pStyle w:val="Heading2"/>
      </w:pPr>
      <w:r>
        <w:t xml:space="preserve">5. Каталог источников данных</w:t>
      </w:r>
    </w:p>
    <w:p>
      <w:pPr>
        <w:pStyle w:val="FirstParagraph"/>
      </w:pPr>
      <w:r>
        <w:t xml:space="preserve">Каталог данных фиксирует внешние публичные и внутренние корпоративные источники, необходимые для функционирования аналитического контура EcoGrid Flow.</w:t>
      </w:r>
    </w:p>
    <w:p>
      <w:pPr>
        <w:pStyle w:val="BlockText"/>
      </w:pPr>
      <w:r>
        <w:t xml:space="preserve">[!TIP]</w:t>
      </w:r>
      <w:r>
        <w:t xml:space="preserve"> </w:t>
      </w:r>
      <w:r>
        <w:t xml:space="preserve">Каталог составлен в соответствии с критериями контроля: не ограничивается названиями файлов, детально описывает форматы, частоту, объемы, владельцев данных, способы доступа и механизмы обеспечения качества (Data Quality).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120" w:type="dxa"/>
          <w:bottom w:w="120" w:type="dxa"/>
          <w:left w:w="160" w:type="dxa"/>
          <w:right w:w="160" w:type="dxa"/>
        </w:tblCellMar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  <w:cantSplit/>
        </w:trPr>
        <w:tc>
          <w:tcPr>
            <w:shd w:val="clear" w:color="auto" w:fill="F2F4F8"/>
          </w:tcPr>
          <w:p>
            <w:pPr>
              <w:pStyle w:val="Compact"/>
              <w:jc w:val="center"/>
            </w:pPr>
            <w:r>
              <w:rPr>
                <w:b/>
                <w:color w:val="24292F"/>
              </w:rPr>
              <w:t xml:space="preserve">№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Источник данных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Назначение и используемые атрибуты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Формат данных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Частота получения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Ожидаемый объем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Владелец / Ответственный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Способ доступа</w:t>
            </w:r>
          </w:p>
        </w:tc>
        <w:tc>
          <w:tcPr>
            <w:shd w:val="clear" w:color="auto" w:fill="F2F4F8"/>
          </w:tcPr>
          <w:p>
            <w:pPr>
              <w:pStyle w:val="Compact"/>
              <w:jc w:val="left"/>
            </w:pPr>
            <w:r>
              <w:rPr>
                <w:b/>
                <w:color w:val="24292F"/>
              </w:rPr>
              <w:t xml:space="preserve">Механизм Data Quality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ENTSO-E Transparency Platform</w:t>
            </w:r>
            <w:r>
              <w:t xml:space="preserve"> </w:t>
            </w:r>
            <w:r>
              <w:t xml:space="preserve">— Day-Ahead Prices (</w:t>
            </w:r>
            <w:r>
              <w:rPr>
                <w:rStyle w:val="VerbatimChar"/>
              </w:rPr>
              <w:t xml:space="preserve">market_day_ahead_prices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Спотовые цены на электроэнергию по энергозонам. Основной источник для расчёта стоимости выполнения задачи и выбора дешевого окна.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bidding_zone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price_unit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XML</w:t>
            </w:r>
            <w:r>
              <w:t xml:space="preserve"> </w:t>
            </w:r>
            <w:r>
              <w:t xml:space="preserve">(Publication_MarketDocument), timestamp ISO 8601; в БД: партиционированная таблица PostgreSQL (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period_start</w:t>
            </w:r>
            <w:r>
              <w:t xml:space="preserve">, шаг —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сутки (13:00–14:00 CET) с возможностью повторной проверки при задержках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24–96 записей на зону в сутки (при 15-мин шаге). Для 3–5 зон: ~288–480 записей/день (~105–175 тыс./год)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/ Национальные операторы энергосетей (TSO)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Web API по HTTPS с Security Token в заголовке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полноты 24/96 интервалов; проверка диапазона цен (-500 … +4000 €); контроль валюты (</w:t>
            </w:r>
            <w:r>
              <w:rPr>
                <w:rStyle w:val="VerbatimChar"/>
              </w:rPr>
              <w:t xml:space="preserve">EUR</w:t>
            </w:r>
            <w:r>
              <w:t xml:space="preserve">) и единиц измерения (</w:t>
            </w:r>
            <w:r>
              <w:rPr>
                <w:rStyle w:val="VerbatimChar"/>
              </w:rPr>
              <w:t xml:space="preserve">price_unit = MWh</w:t>
            </w:r>
            <w: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ENTSO-E Transparency Platform</w:t>
            </w:r>
            <w:r>
              <w:t xml:space="preserve"> </w:t>
            </w:r>
            <w:r>
              <w:t xml:space="preserve">— Generation / Energy Mix (</w:t>
            </w:r>
            <w:r>
              <w:rPr>
                <w:rStyle w:val="VerbatimChar"/>
              </w:rPr>
              <w:t xml:space="preserve">market_generation_mix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о производстве электроэнергии и структуре генерации по зонам для аналитики рынка и оценки углеродоемкости сети.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bidding_zone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period_end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production_type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generation_mw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resolution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XML</w:t>
            </w:r>
            <w:r>
              <w:t xml:space="preserve"> </w:t>
            </w:r>
            <w:r>
              <w:t xml:space="preserve">(GL_MarketDocument); в БД: партиционированная таблица PostgreSQL (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period_start</w:t>
            </w:r>
            <w:r>
              <w:t xml:space="preserve">,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раза в сутки по факту публикации операторами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Сотни записей в сутки в зависимости от детальности источников генерации в зоне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ENTSO-E / Национальные системные операторы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Web API по HTTPS с Security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неотрицательности выработки (</w:t>
            </w:r>
            <w:r>
              <w:rPr>
                <w:rStyle w:val="VerbatimChar"/>
              </w:rPr>
              <w:t xml:space="preserve">generation_mw &gt;= 0</w:t>
            </w:r>
            <w:r>
              <w:t xml:space="preserve">); контроль суммы генераций и допустимых типов</w:t>
            </w:r>
            <w:r>
              <w:t xml:space="preserve"> </w:t>
            </w:r>
            <w:r>
              <w:rPr>
                <w:rStyle w:val="VerbatimChar"/>
              </w:rPr>
              <w:t xml:space="preserve">production_type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Open-Meteo Forecast API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weather_forecast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Оперативный метеопрогноз около дата-центров для расчёта динамического PUE и энергопотребления охлаждения.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forecast_time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temperature_2m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relative_humidity_2m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wind_speed_10m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shortwave_radiation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  <w:r>
              <w:t xml:space="preserve">; в БД: партиционированная таблица PostgreSQL (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forecast_time</w:t>
            </w:r>
            <w:r>
              <w:t xml:space="preserve">,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Каждые 3–6 часов (по мере обновления глобальных метеомоделей)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записи в сутки на переменную на каждый ЦОД. Для 3–5 ЦОД: ~200–500 записей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OpenMeteo GmbH (исходные модели DWD, ECMWF, NOAA)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 API по географическим координатам ЦОД (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физических границ температуры (-50°C … +50°C), влажности (0 … 100%), ветра (0 … 100 м/с); проверка отсутствия пропусков.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Open-Meteo Historical Weather Archive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weather_historical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Исторические ряды температуры, влажности, ветра и радиации за 3–5 лет для EDA, калибровки модели PUE и обучения ML-моделей.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temperature_2m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relative_humidity_2m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cloud_cover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wind_speed_10m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shortwave_radiation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; в БД: партиционированная таблица PostgreSQL (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observed_at</w:t>
            </w:r>
            <w:r>
              <w:t xml:space="preserve">, шаг — 1 год)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Разовая первичная загрузка при развертывании; далее периодическое дозаполнение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год ≈ 8,76 тыс. записей на ЦОД. За 5 лет для 3 ЦОД: ~130 тыс. строк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OpenMeteo GmbH / метеослужбы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GET Historical Weather API с фильтром по координатам и датам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монотонности временной шкалы; выявление дубликатов; интерполяция единичных пропусков.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Справочник инфраструктуры клиента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client_infrastructure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площадок ЦОД, географических координат, базовых PUE и характеристик серверного парка.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bidding_zone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longitude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max_power_kw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base_pue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PostgreSQL /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(реляционный справочник)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Изменяется редко (при добавлении/изменении ЦОД или оборудования)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Десятки или сотни строк (в зависимости от размера серверного парка компании)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Компания-клиент (Infrastructure / DataOps 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чтение из PostgreSQL / Внутренний Admin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  <w:r>
              <w:t xml:space="preserve"> </w:t>
            </w:r>
            <w:r>
              <w:rPr>
                <w:rStyle w:val="VerbatimChar"/>
              </w:rPr>
              <w:t xml:space="preserve">base_pue &gt;= 1.0</w:t>
            </w:r>
            <w:r>
              <w:t xml:space="preserve">; валидация географических координат; контроль внешнего ключа</w:t>
            </w:r>
            <w:r>
              <w:t xml:space="preserve"> </w:t>
            </w:r>
            <w:r>
              <w:rPr>
                <w:rStyle w:val="VerbatimChar"/>
              </w:rPr>
              <w:t xml:space="preserve">bidding_zone</w:t>
            </w:r>
            <w:r>
              <w:t xml:space="preserve"> </w:t>
            </w:r>
            <w:r>
              <w:t xml:space="preserve">с таблицами рынка.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Параметры вычислительной задачи от клиента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task_parameters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Входящие требования к batch-задачам от оркестраторов клиента (SLA, допустимые локации, мощность).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required_power_kw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earliest_start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allow_geo_migration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</w:t>
            </w:r>
            <w:r>
              <w:t xml:space="preserve"> </w:t>
            </w:r>
            <w:r>
              <w:t xml:space="preserve">по протоколу HTTP; в БД: таблица</w:t>
            </w:r>
            <w:r>
              <w:t xml:space="preserve"> </w:t>
            </w:r>
            <w:r>
              <w:rPr>
                <w:rStyle w:val="VerbatimChar"/>
              </w:rPr>
              <w:t xml:space="preserve">task_parameters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событию (при каждом запросе рекомендации от Airflow)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единиц до сотен/тысяч запросов в сутки; размер payload &lt; 2 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/ Корпоративный оркестратор (DataOps / MLOps)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POST-запрос на внутренний REST API (</w:t>
            </w:r>
            <w:r>
              <w:rPr>
                <w:rStyle w:val="VerbatimChar"/>
              </w:rPr>
              <w:t xml:space="preserve">/api/v1/recommendations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Строгая валидация Pydantic-схемами:</w:t>
            </w:r>
            <w:r>
              <w:t xml:space="preserve"> </w:t>
            </w:r>
            <w:r>
              <w:rPr>
                <w:rStyle w:val="VerbatimChar"/>
              </w:rPr>
              <w:t xml:space="preserve">duration_minutes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required_power_kw &gt;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deadline &gt; earliest_start &gt;= now()</w:t>
            </w:r>
            <w: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Журнал рекомендаций и результатов расчётов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task_history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Зафиксированные результаты работы оптимизатора: окно запуска, выбранный ЦОД, расчётная стоимость, базовая стоимость без оптимизации, сэкономленный бюджет. Атрибуты:</w:t>
            </w:r>
            <w:r>
              <w:t xml:space="preserve"> </w:t>
            </w:r>
            <w:r>
              <w:rPr>
                <w:rStyle w:val="VerbatimChar"/>
              </w:rPr>
              <w:t xml:space="preserve">recommendation_id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recommended_end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estimated_energy_kwh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Партиционированная таблица PostgreSQL (</w:t>
            </w: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по</w:t>
            </w:r>
            <w:r>
              <w:t xml:space="preserve"> </w:t>
            </w:r>
            <w:r>
              <w:rPr>
                <w:rStyle w:val="VerbatimChar"/>
              </w:rPr>
              <w:t xml:space="preserve">calculated_at</w:t>
            </w:r>
            <w:r>
              <w:t xml:space="preserve">, шаг — 1 месяц)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каждом расчете рекомендации и по факту завершения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 запись на задачу плюс технические логи. При 1 000 задач/день: ~365 тыс. записей/год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EcoGrid Flow (собственный внутренний источник сервиса)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Локальное сохранение через SQLAlchemy / AsyncPG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целостности внешних ключей (</w:t>
            </w:r>
            <w:r>
              <w:rPr>
                <w:rStyle w:val="VerbatimChar"/>
              </w:rPr>
              <w:t xml:space="preserve">job_id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datacenter_id</w:t>
            </w:r>
            <w:r>
              <w:t xml:space="preserve">); проверка формулы</w:t>
            </w:r>
            <w:r>
              <w:t xml:space="preserve"> </w:t>
            </w:r>
            <w:r>
              <w:rPr>
                <w:rStyle w:val="VerbatimChar"/>
              </w:rPr>
              <w:t xml:space="preserve">estimated_savings = baseline - estimated_cost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recommended_end &lt;= deadline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бизнес-правила-и-системные-ограничения"/>
    <w:p>
      <w:pPr>
        <w:pStyle w:val="Heading2"/>
      </w:pPr>
      <w:r>
        <w:t xml:space="preserve">6. Бизнес-правила и системные ограничения</w:t>
      </w:r>
    </w:p>
    <w:bookmarkStart w:id="39" w:name="бизнес-правила-business-rules"/>
    <w:p>
      <w:pPr>
        <w:pStyle w:val="Heading3"/>
      </w:pPr>
      <w:r>
        <w:t xml:space="preserve">6.1. Бизнес-правила (Business Rules)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BR-01 (Гарантия соблюдения SLA-дедлайна — Hard Constraint):</w:t>
      </w:r>
      <w:r>
        <w:br/>
      </w:r>
      <w:r>
        <w:t xml:space="preserve">Оптимальное окно запуска задачи</w:t>
      </w:r>
      <w:r>
        <w:t xml:space="preserve"> </w:t>
      </w:r>
      <w:r>
        <w:rPr>
          <w:rStyle w:val="VerbatimChar"/>
        </w:rPr>
        <w:t xml:space="preserve">[t_start, t_start + duration]</w:t>
      </w:r>
      <w:r>
        <w:t xml:space="preserve"> </w:t>
      </w:r>
      <w:r>
        <w:t xml:space="preserve">обязано строго завершаться до указанного пользователем дедлайна:</w:t>
      </w:r>
      <w:r>
        <w:br/>
      </w:r>
      <w:r>
        <w:rPr>
          <w:rStyle w:val="VerbatimChar"/>
        </w:rPr>
        <w:t xml:space="preserve">t_start + duration ≤ deadline</w:t>
      </w:r>
      <w:r>
        <w:br/>
      </w:r>
      <w:r>
        <w:t xml:space="preserve">Система не имеет права предлагать слот с меньшей стоимостью, если он нарушает дедлайн.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BR-02 (Неделимость вычислительной задачи — Non-preemptive Execution):</w:t>
      </w:r>
      <w:r>
        <w:br/>
      </w:r>
      <w:r>
        <w:t xml:space="preserve">Пакетная задача длительностью N часов является непрерывной. Поиск окна ведется методом скользящего окна как интеграл непрерывной стоимости за N последовательных часов без разбиения задачи на части.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BR-03 (Изоляция корпоративных данных — Zero Outbound Leaks):</w:t>
      </w:r>
      <w:r>
        <w:br/>
      </w:r>
      <w:r>
        <w:t xml:space="preserve">Во внешний интернет запрещено передавать любые метаданные клиента (названия серверов, внутренние IP-адреса, имена задач, логи). Разрешены только исходящие GET-запросы за обезличенными публичными котировками и погодой.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BR-04 (Модель динамического PUE и энергоэффективности):</w:t>
      </w:r>
      <w:r>
        <w:br/>
      </w:r>
      <w:r>
        <w:t xml:space="preserve">Совокупная стоимость вычисления рассчитывается с учетом динамической температуры:</w:t>
      </w:r>
      <w:r>
        <w:br/>
      </w:r>
      <w:r>
        <w:rPr>
          <w:rStyle w:val="VerbatimChar"/>
        </w:rPr>
        <w:t xml:space="preserve">Cost = Σ (P_server × PUE(T_t) × Price_spot(t))</w:t>
      </w:r>
      <w:r>
        <w:br/>
      </w:r>
      <w:r>
        <w:t xml:space="preserve">где при</w:t>
      </w:r>
      <w:r>
        <w:t xml:space="preserve"> </w:t>
      </w:r>
      <w:r>
        <w:rPr>
          <w:rStyle w:val="VerbatimChar"/>
        </w:rPr>
        <w:t xml:space="preserve">T_t ≤ T_free</w:t>
      </w:r>
      <w:r>
        <w:t xml:space="preserve"> </w:t>
      </w:r>
      <w:r>
        <w:t xml:space="preserve">действует режим Free Cooling (</w:t>
      </w:r>
      <w:r>
        <w:rPr>
          <w:rStyle w:val="VerbatimChar"/>
        </w:rPr>
        <w:t xml:space="preserve">PUE = base_pue</w:t>
      </w:r>
      <w:r>
        <w:t xml:space="preserve">), а при</w:t>
      </w:r>
      <w:r>
        <w:t xml:space="preserve"> </w:t>
      </w:r>
      <w:r>
        <w:rPr>
          <w:rStyle w:val="VerbatimChar"/>
        </w:rPr>
        <w:t xml:space="preserve">T_t &gt; T_free</w:t>
      </w:r>
      <w:r>
        <w:t xml:space="preserve"> </w:t>
      </w:r>
      <w:r>
        <w:t xml:space="preserve">добавляются затраты на работу компрессоров.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BR-05 (Регламент устаревания данных и аварийный Fallback):</w:t>
      </w:r>
      <w:r>
        <w:br/>
      </w:r>
      <w:r>
        <w:t xml:space="preserve">Если свежие Day-Ahead цены не поступили до 14:30 CET из-за сбоя серверов ENTSO-E, система переходит в режим Fallback: выдает рекомендацию на основе скользящего среднего тарифа за аналогичные дни предыдущих 3 недель с обязательным предупреждающим флагом</w:t>
      </w:r>
      <w:r>
        <w:t xml:space="preserve"> </w:t>
      </w:r>
      <w:r>
        <w:rPr>
          <w:rStyle w:val="VerbatimChar"/>
        </w:rPr>
        <w:t xml:space="preserve">is_fallback: true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BR-06 (Порог целесообразности географического арбитража):</w:t>
      </w:r>
      <w:r>
        <w:br/>
      </w:r>
      <w:r>
        <w:t xml:space="preserve">Перенос задачи из «домашнего» ЦОД в удаленный рекомендуется только в том случае, если прогнозируемая экономия на электроэнергии превышает порог накладных расходов на сетевую передачу данных между дата-центрами (Egress Data Overhead Threshold):</w:t>
      </w:r>
      <w:r>
        <w:br/>
      </w:r>
      <w:r>
        <w:rPr>
          <w:rStyle w:val="VerbatimChar"/>
        </w:rPr>
        <w:t xml:space="preserve">Savings_EUR &gt; Cost_network_transfer</w:t>
      </w:r>
    </w:p>
    <w:p>
      <w:r>
        <w:pict>
          <v:rect style="width:0;height:1.5pt" o:hralign="center" o:hrstd="t" o:hr="t"/>
        </w:pict>
      </w:r>
    </w:p>
    <w:bookmarkEnd w:id="39"/>
    <w:bookmarkStart w:id="40" w:name="X666d0e0bbd889c057db8ae0a0d8b3a9c55434b8"/>
    <w:p>
      <w:pPr>
        <w:pStyle w:val="Heading3"/>
      </w:pPr>
      <w:r>
        <w:t xml:space="preserve">6.2. Системные и нефункциональные ограничения (Constraints)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Архитектурное ограничение:</w:t>
      </w:r>
      <w:r>
        <w:t xml:space="preserve"> </w:t>
      </w:r>
      <w:r>
        <w:t xml:space="preserve">Развертывание всей инфраструктуры в закрытом контуре через Docker Compose на хосте заказчика (Ubuntu Linux / macOS, Docker Engine 24+).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Требования к производительности:</w:t>
      </w:r>
      <w:r>
        <w:t xml:space="preserve"> </w:t>
      </w:r>
      <w:r>
        <w:t xml:space="preserve">Время расчета рекомендации для задачи с горизонтом планирования до 48 часов не должно превышать</w:t>
      </w:r>
      <w:r>
        <w:t xml:space="preserve"> </w:t>
      </w:r>
      <w:r>
        <w:rPr>
          <w:b/>
          <w:bCs/>
        </w:rPr>
        <w:t xml:space="preserve">200 миллисекунд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Требования к хранению:</w:t>
      </w:r>
      <w:r>
        <w:t xml:space="preserve"> </w:t>
      </w:r>
      <w:r>
        <w:t xml:space="preserve">База данных PostgreSQL 16 с обязательным секционированием (партиционированием) таблиц временных рядов по месяцам для обеспечения стабильной скорости аналитических выборок.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Сетевые ограничения:</w:t>
      </w:r>
      <w:r>
        <w:t xml:space="preserve"> </w:t>
      </w:r>
      <w:r>
        <w:t xml:space="preserve">Доступ во внешнюю сеть строго ограничен белым списком доменов:</w:t>
      </w:r>
      <w:r>
        <w:t xml:space="preserve"> </w:t>
      </w:r>
      <w:r>
        <w:rPr>
          <w:rStyle w:val="VerbatimChar"/>
        </w:rPr>
        <w:t xml:space="preserve">transparency.entsoe.eu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api.open-meteo.com</w:t>
      </w:r>
      <w:r>
        <w:t xml:space="preserve"> </w:t>
      </w:r>
      <w:r>
        <w:t xml:space="preserve">по HTTPS (порт 443).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контекстная-диаграмма-системы-c4-context"/>
    <w:p>
      <w:pPr>
        <w:pStyle w:val="Heading2"/>
      </w:pPr>
      <w:r>
        <w:t xml:space="preserve">7. Контекстная диаграмма системы (C4 Context)</w:t>
      </w:r>
    </w:p>
    <w:p>
      <w:pPr>
        <w:pStyle w:val="FirstParagraph"/>
      </w:pPr>
      <w:r>
        <w:t xml:space="preserve">Диаграмма контекста описывает границы разрабатываемой системы</w:t>
      </w:r>
      <w:r>
        <w:t xml:space="preserve"> </w:t>
      </w:r>
      <w:r>
        <w:rPr>
          <w:b/>
          <w:bCs/>
        </w:rPr>
        <w:t xml:space="preserve">EcoGrid Flow</w:t>
      </w:r>
      <w:r>
        <w:t xml:space="preserve">, ее пользователей и внешние взаимодействующие сервисы.</w:t>
      </w:r>
    </w:p>
    <w:p>
      <w:pPr>
        <w:pStyle w:val="CaptionedFigure"/>
      </w:pPr>
      <w:r>
        <w:drawing>
          <wp:inline>
            <wp:extent cx="5334000" cy="9417686"/>
            <wp:effectExtent b="0" l="0" r="0" t="0"/>
            <wp:docPr descr="Рисунок 4. Контекстная диаграмма системы EcoGrid Flow (C4 Context)" title="" id="43" name="Picture"/>
            <a:graphic>
              <a:graphicData uri="http://schemas.openxmlformats.org/drawingml/2006/picture">
                <pic:pic>
                  <pic:nvPicPr>
                    <pic:cNvPr descr="/Users/bogdanleonov/.gemini/antigravity-ide/brain/afda694d-daf5-4b47-b0fb-40820f2ae45e/scratch/sem3_diag_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17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4. Контекстная диаграмма системы EcoGrid Flow (C4 Context)</w:t>
      </w:r>
    </w:p>
    <w:p>
      <w:pPr>
        <w:pStyle w:val="BodyText"/>
      </w:pPr>
      <w:r>
        <w:rPr>
          <w:i/>
          <w:iCs/>
        </w:rPr>
        <w:t xml:space="preserve">Рисунок 4. Контекстная диаграмма системы EcoGrid Flow (C4 Context)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</ns0:style>
  <ns0:style ns0:styleId="FirstParagraph" ns0:type="paragraph">
    <ns0:name ns0:val="First Paragraph"/>
    <ns0:basedOn ns0:val="BodyText"/>
    <ns0:next ns0:val="BodyText"/>
    <ns0:qFormat/>
  </ns0:style>
  <ns0:style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Theme="majorHAnsi" ns0:cstheme="majorBidi" ns0:eastAsiaTheme="majorEastAsia" ns0:hAnsiTheme="majorHAnsi"/>
      <ns0:sz ns0:val="56"/>
      <ns0:szCs ns0:val="56"/>
    </ns0:rPr>
  </ns0:style>
  <ns0:style ns0:styleId="TitleChar" ns0:type="character">
    <ns0:name ns0:val="Title Char"/>
    <ns0:basedOn ns0:val="DefaultParagraphFont"/>
    <ns0:link ns0:val="Title"/>
    <ns0:uiPriority ns0:val="10"/>
    <ns0:rsid ns0:val="00A10FD9"/>
    <ns0:rPr>
      <ns0:rFonts ns0:asciiTheme="majorHAnsi" ns0:cstheme="majorBidi" ns0:eastAsiaTheme="majorEastAsia" ns0:hAnsiTheme="majorHAnsi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cstheme="majorBidi" ns0:eastAsiaTheme="majorEastAsia"/>
      <ns0:spacing ns0:val="15"/>
      <ns0:sz ns0:val="28"/>
      <ns0:szCs ns0:val="28"/>
    </ns0:rPr>
  </ns0:style>
  <ns0:style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cstheme="majorBidi" ns0:eastAsiaTheme="majorEastAsia"/>
      <ns0:color ns0:themeColor="text1" ns0:themeTint="A6" ns0:val="595959"/>
      <ns0:spacing ns0:val="15"/>
      <ns0:sz ns0:val="28"/>
      <ns0:szCs ns0:val="28"/>
    </ns0:rPr>
  </ns0:style>
  <ns0:style ns0:styleId="Author" ns0:type="paragraph">
    <ns0:name ns0:val="Author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b/>
      <ns0:sz ns0:val="20"/>
      <ns0:szCs ns0:val="20"/>
    </ns0:rPr>
  </ns0:style>
  <ns0:style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Theme="majorHAnsi" ns0:cstheme="majorBidi" ns0:eastAsiaTheme="majorEastAsia" ns0:hAnsiTheme="majorHAnsi"/>
      <ns0:color ns0:themeColor="accent1" ns0:themeShade="BF" ns0:val="0F4761"/>
      <ns0:sz ns0:val="40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Theme="majorHAnsi" ns0:cstheme="majorBidi" ns0:eastAsiaTheme="majorEastAsia" ns0:hAnsiTheme="majorHAnsi"/>
      <ns0:color ns0:themeColor="accent1" ns0:themeShade="BF" ns0:val="0F4761"/>
      <ns0:sz ns0:val="32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cstheme="majorBidi" ns0:eastAsiaTheme="majorEastAsia"/>
      <ns0:color ns0:themeColor="accent1" ns0:themeShade="BF" ns0:val="0F4761"/>
      <ns0:sz ns0:val="28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cstheme="majorBidi" ns0:eastAsiaTheme="majorEastAsia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cstheme="majorBidi" ns0:eastAsiaTheme="majorEastAsia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cstheme="majorBidi" ns0:eastAsiaTheme="majorEastAsia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cstheme="majorBidi" ns0:eastAsiaTheme="majorEastAsia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cstheme="majorBidi" ns0:eastAsiaTheme="majorEastAsia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cstheme="majorBidi" ns0:eastAsiaTheme="majorEastAsia"/>
      <ns0:color ns0:themeColor="text1" ns0:themeTint="D8" ns0:val="272727"/>
    </ns0:rPr>
  </ns0:style>
  <ns0:style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Theme="majorHAnsi" ns0:cstheme="majorBidi" ns0:eastAsiaTheme="majorEastAsia" ns0:hAnsiTheme="majorHAnsi"/>
      <ns0:color ns0:themeColor="accent1" ns0:themeShade="BF" ns0:val="0F4761"/>
      <ns0:sz ns0:val="40"/>
      <ns0:szCs ns0:val="40"/>
    </ns0:rPr>
  </ns0:style>
  <ns0:style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cstheme="majorBidi" ns0:eastAsiaTheme="majorEastAsia" ns0:hAnsiTheme="majorHAnsi"/>
      <ns0:color ns0:themeColor="accent1" ns0:themeShade="BF" ns0:val="0F4761"/>
      <ns0:sz ns0:val="32"/>
      <ns0:szCs ns0:val="32"/>
    </ns0:rPr>
  </ns0:style>
  <ns0:style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cstheme="majorBidi" ns0:eastAsiaTheme="majorEastAsia"/>
      <ns0:color ns0:themeColor="accent1" ns0:themeShade="BF" ns0:val="0F4761"/>
      <ns0:sz ns0:val="28"/>
      <ns0:szCs ns0:val="28"/>
    </ns0:rPr>
  </ns0:style>
  <ns0:style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cstheme="majorBidi" ns0:eastAsiaTheme="majorEastAsia"/>
      <ns0:i/>
      <ns0:iCs/>
      <ns0:color ns0:themeColor="accent1" ns0:themeShade="BF" ns0:val="0F4761"/>
    </ns0:rPr>
  </ns0:style>
  <ns0:style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cstheme="majorBidi" ns0:eastAsiaTheme="majorEastAsia"/>
      <ns0:color ns0:themeColor="accent1" ns0:themeShade="BF" ns0:val="0F4761"/>
    </ns0:rPr>
  </ns0:style>
  <ns0:style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cstheme="majorBidi" ns0:eastAsiaTheme="majorEastAsia"/>
      <ns0:i/>
      <ns0:iCs/>
      <ns0:color ns0:themeColor="text1" ns0:themeTint="A6" ns0:val="595959"/>
    </ns0:rPr>
  </ns0:style>
  <ns0:style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cstheme="majorBidi" ns0:eastAsiaTheme="majorEastAsia"/>
      <ns0:color ns0:themeColor="text1" ns0:themeTint="A6" ns0:val="595959"/>
    </ns0:rPr>
  </ns0:style>
  <ns0:style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cstheme="majorBidi" ns0:eastAsiaTheme="majorEastAsia"/>
      <ns0:i/>
      <ns0:iCs/>
      <ns0:color ns0:themeColor="text1" ns0:themeTint="D8" ns0:val="272727"/>
    </ns0:rPr>
  </ns0:style>
  <ns0:style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cstheme="majorBidi" ns0:eastAsiaTheme="majorEastAsia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styleId="TableCaption" ns0:type="paragraph">
    <ns0:name ns0:val="Table Caption"/>
    <ns0:basedOn ns0:val="Caption"/>
    <ns0:pPr>
      <ns0:keepNext/>
    </ns0:pPr>
  </ns0:style>
  <ns0:style ns0:styleId="ImageCaption" ns0:type="paragraph">
    <ns0:name ns0:val="Image Caption"/>
    <ns0:basedOn ns0:val="Caption"/>
  </ns0:style>
  <ns0:style ns0:styleId="Figure" ns0:type="paragraph">
    <ns0:name ns0:val="Figure"/>
    <ns0:basedOn ns0:val="Normal"/>
  </ns0:style>
  <ns0:style ns0:styleId="CaptionedFigure" ns0:type="paragraph">
    <ns0:name ns0:val="Captioned Figure"/>
    <ns0:basedOn ns0:val="Figure"/>
    <ns0:pPr>
      <ns0:keepNext/>
    </ns0:pPr>
  </ns0:style>
  <ns0:style ns0:styleId="BodyTextChar" ns0:type="character">
    <ns0:name ns0:val="Body Text Char"/>
    <ns0:basedOn ns0:val="DefaultParagraphFont"/>
    <ns0:link ns0:val="BodyText"/>
  </ns0:style>
  <ns0:style ns0:styleId="VerbatimChar" ns0:type="character">
    <ns0:name ns0:val="Verbatim Char"/>
    <ns0:basedOn ns0:val="BodyTextChar"/>
    <ns0:rPr>
      <ns0:rFonts ns0:ascii="Consolas" ns0:hAnsi="Consolas"/>
      <ns0:sz ns0:val="22"/>
    </ns0:rPr>
  </ns0:style>
  <ns0:style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cstheme="majorBidi" ns0:eastAsiaTheme="majorEastAsia" ns0:hAnsiTheme="majorHAnsi"/>
      <ns0:b ns0:val="0"/>
      <ns0:bCs ns0:val="0"/>
      <ns0:color ns0:themeColor="accent1" ns0:themeShade="BF" ns0:val="365F91"/>
    </ns0:rPr>
  </ns0:style>
  <ns0:style ns0:type="paragraph" ns0:styleId="SourceCode">
    <ns0:name ns0:val="Source Code"/>
    <ns0:basedOn ns0:val="Normal"/>
    <ns0:link ns0:val="VerbatimChar"/>
    <ns0:pPr>
      <ns0:wordWrap ns0:val="off"/>
    </ns0:pPr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2" Type="http://schemas.openxmlformats.org/officeDocument/2006/relationships/image" Target="media/rId22.png"/><Relationship Id="rId28" Type="http://schemas.openxmlformats.org/officeDocument/2006/relationships/image" Target="media/rId28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ns0:Properties xmlns:ns0="http://schemas.openxmlformats.org/officeDocument/2006/extended-properties">
  <ns0:Words>83</ns0:Words>
  <ns0:SharedDoc>false</ns0:SharedDoc>
  <ns0:HyperlinksChanged>false</ns0:HyperlinksChanged>
  <ns0:Lines>12</ns0:Lines>
  <ns0:AppVersion>12.0000</ns0:AppVersion>
  <ns0:LinksUpToDate>false</ns0:LinksUpToDate>
  <ns0:Application>Microsoft Word 12.0.0</ns0:Application>
  <ns0:CharactersWithSpaces>583</ns0:CharactersWithSpaces>
  <ns0:Template>Normal.dotx</ns0:Template>
  <ns0:DocSecurity>0</ns0:DocSecurity>
  <ns0:TotalTime>6</ns0:TotalTime>
  <ns0:ScaleCrop>false</ns0:ScaleCrop>
  <ns0:Characters>475</ns0:Characters>
  <ns0:Paragraphs>8</ns0:Paragraphs>
  <ns0:Pages>1</ns0:Pages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2026-09-24T12:40:03Z</dcterms:created>
  <dcterms:modified xsi:type="dcterms:W3CDTF">2026-09-24T12:40:03Z</dcterms:modified>
</cp:coreProperties>
</file>