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INWEB Studio</w:t>
      </w:r>
    </w:p>
    <w:p>
      <w:pPr>
        <w:jc w:val="center"/>
      </w:pPr>
      <w:r>
        <w:rPr>
          <w:b/>
        </w:rPr>
        <w:t>Plano de Testes</w:t>
        <w:br/>
      </w:r>
      <w:r>
        <w:t>Versão 1.0</w:t>
        <w:br/>
        <w:t>Data: 30/06/2026</w:t>
        <w:br/>
        <w:t>Autor: Ingrid Nogueira</w:t>
      </w:r>
    </w:p>
    <w:p>
      <w:pPr>
        <w:pStyle w:val="Heading1"/>
      </w:pPr>
      <w:r>
        <w:t>1. Objetivo</w:t>
      </w:r>
    </w:p>
    <w:p>
      <w:r>
        <w:t>Definir a estratégia de testes do INWEB Studio para garantir qualidade, segurança, desempenho e conformidade com os requisitos funcionais e não funcionais.</w:t>
      </w:r>
    </w:p>
    <w:p>
      <w:pPr>
        <w:pStyle w:val="Heading1"/>
      </w:pPr>
      <w:r>
        <w:t>2. Escopo</w:t>
      </w:r>
    </w:p>
    <w:p>
      <w:pPr>
        <w:pStyle w:val="ListBullet"/>
      </w:pPr>
      <w:r>
        <w:t>Autenticação</w:t>
      </w:r>
    </w:p>
    <w:p>
      <w:pPr>
        <w:pStyle w:val="ListBullet"/>
      </w:pPr>
      <w:r>
        <w:t>Usuários</w:t>
      </w:r>
    </w:p>
    <w:p>
      <w:pPr>
        <w:pStyle w:val="ListBullet"/>
      </w:pPr>
      <w:r>
        <w:t>Clientes</w:t>
      </w:r>
    </w:p>
    <w:p>
      <w:pPr>
        <w:pStyle w:val="ListBullet"/>
      </w:pPr>
      <w:r>
        <w:t>Projetos</w:t>
      </w:r>
    </w:p>
    <w:p>
      <w:pPr>
        <w:pStyle w:val="ListBullet"/>
      </w:pPr>
      <w:r>
        <w:t>Tarefas</w:t>
      </w:r>
    </w:p>
    <w:p>
      <w:pPr>
        <w:pStyle w:val="ListBullet"/>
      </w:pPr>
      <w:r>
        <w:t>Arquivos</w:t>
      </w:r>
    </w:p>
    <w:p>
      <w:pPr>
        <w:pStyle w:val="ListBullet"/>
      </w:pPr>
      <w:r>
        <w:t>Dashboard</w:t>
      </w:r>
    </w:p>
    <w:p>
      <w:pPr>
        <w:pStyle w:val="ListBullet"/>
      </w:pPr>
      <w:r>
        <w:t>API REST</w:t>
      </w:r>
    </w:p>
    <w:p>
      <w:pPr>
        <w:pStyle w:val="ListBullet"/>
      </w:pPr>
      <w:r>
        <w:t>Frontend React</w:t>
      </w:r>
    </w:p>
    <w:p>
      <w:pPr>
        <w:pStyle w:val="ListBullet"/>
      </w:pPr>
      <w:r>
        <w:t>Banco de Dados</w:t>
      </w:r>
    </w:p>
    <w:p>
      <w:pPr>
        <w:pStyle w:val="Heading1"/>
      </w:pPr>
      <w:r>
        <w:t>3. Estratégia de Testes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Objetivo</w:t>
            </w:r>
          </w:p>
        </w:tc>
        <w:tc>
          <w:tcPr>
            <w:tcW w:type="dxa" w:w="2880"/>
          </w:tcPr>
          <w:p>
            <w:r>
              <w:t>Ferramentas</w:t>
            </w:r>
          </w:p>
        </w:tc>
      </w:tr>
      <w:tr>
        <w:tc>
          <w:tcPr>
            <w:tcW w:type="dxa" w:w="2880"/>
          </w:tcPr>
          <w:p>
            <w:r>
              <w:t>Teste Unitário</w:t>
            </w:r>
          </w:p>
        </w:tc>
        <w:tc>
          <w:tcPr>
            <w:tcW w:type="dxa" w:w="2880"/>
          </w:tcPr>
          <w:p>
            <w:r>
              <w:t>Validar métodos e regras de negócio</w:t>
            </w:r>
          </w:p>
        </w:tc>
        <w:tc>
          <w:tcPr>
            <w:tcW w:type="dxa" w:w="2880"/>
          </w:tcPr>
          <w:p>
            <w:r>
              <w:t>JUnit 5, Mockito</w:t>
            </w:r>
          </w:p>
        </w:tc>
      </w:tr>
      <w:tr>
        <w:tc>
          <w:tcPr>
            <w:tcW w:type="dxa" w:w="2880"/>
          </w:tcPr>
          <w:p>
            <w:r>
              <w:t>Integração</w:t>
            </w:r>
          </w:p>
        </w:tc>
        <w:tc>
          <w:tcPr>
            <w:tcW w:type="dxa" w:w="2880"/>
          </w:tcPr>
          <w:p>
            <w:r>
              <w:t>Validar integração entre camadas</w:t>
            </w:r>
          </w:p>
        </w:tc>
        <w:tc>
          <w:tcPr>
            <w:tcW w:type="dxa" w:w="2880"/>
          </w:tcPr>
          <w:p>
            <w:r>
              <w:t>Spring Boot Test, Testcontainers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Validar endpoints REST</w:t>
            </w:r>
          </w:p>
        </w:tc>
        <w:tc>
          <w:tcPr>
            <w:tcW w:type="dxa" w:w="2880"/>
          </w:tcPr>
          <w:p>
            <w:r>
              <w:t>Postman, Bruno, REST Assured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Validar componentes React</w:t>
            </w:r>
          </w:p>
        </w:tc>
        <w:tc>
          <w:tcPr>
            <w:tcW w:type="dxa" w:w="2880"/>
          </w:tcPr>
          <w:p>
            <w:r>
              <w:t>Vitest, Testing Library</w:t>
            </w:r>
          </w:p>
        </w:tc>
      </w:tr>
      <w:tr>
        <w:tc>
          <w:tcPr>
            <w:tcW w:type="dxa" w:w="2880"/>
          </w:tcPr>
          <w:p>
            <w:r>
              <w:t>E2E</w:t>
            </w:r>
          </w:p>
        </w:tc>
        <w:tc>
          <w:tcPr>
            <w:tcW w:type="dxa" w:w="2880"/>
          </w:tcPr>
          <w:p>
            <w:r>
              <w:t>Simular fluxo do usuário</w:t>
            </w:r>
          </w:p>
        </w:tc>
        <w:tc>
          <w:tcPr>
            <w:tcW w:type="dxa" w:w="2880"/>
          </w:tcPr>
          <w:p>
            <w:r>
              <w:t>Playwright</w:t>
            </w:r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Tempo de resposta</w:t>
            </w:r>
          </w:p>
        </w:tc>
        <w:tc>
          <w:tcPr>
            <w:tcW w:type="dxa" w:w="2880"/>
          </w:tcPr>
          <w:p>
            <w:r>
              <w:t>k6</w:t>
            </w:r>
          </w:p>
        </w:tc>
      </w:tr>
      <w:tr>
        <w:tc>
          <w:tcPr>
            <w:tcW w:type="dxa" w:w="2880"/>
          </w:tcPr>
          <w:p>
            <w:r>
              <w:t>Segurança</w:t>
            </w:r>
          </w:p>
        </w:tc>
        <w:tc>
          <w:tcPr>
            <w:tcW w:type="dxa" w:w="2880"/>
          </w:tcPr>
          <w:p>
            <w:r>
              <w:t>Autenticação e autorização</w:t>
            </w:r>
          </w:p>
        </w:tc>
        <w:tc>
          <w:tcPr>
            <w:tcW w:type="dxa" w:w="2880"/>
          </w:tcPr>
          <w:p>
            <w:r>
              <w:t>OWASP ZAP</w:t>
            </w:r>
          </w:p>
        </w:tc>
      </w:tr>
      <w:tr>
        <w:tc>
          <w:tcPr>
            <w:tcW w:type="dxa" w:w="2880"/>
          </w:tcPr>
          <w:p>
            <w:r>
              <w:t>Aceitação</w:t>
            </w:r>
          </w:p>
        </w:tc>
        <w:tc>
          <w:tcPr>
            <w:tcW w:type="dxa" w:w="2880"/>
          </w:tcPr>
          <w:p>
            <w:r>
              <w:t>Validar requisitos do negócio</w:t>
            </w:r>
          </w:p>
        </w:tc>
        <w:tc>
          <w:tcPr>
            <w:tcW w:type="dxa" w:w="2880"/>
          </w:tcPr>
          <w:p>
            <w:r>
              <w:t>Checklist + BDD</w:t>
            </w:r>
          </w:p>
        </w:tc>
      </w:tr>
    </w:tbl>
    <w:p>
      <w:pPr>
        <w:pStyle w:val="Heading1"/>
      </w:pPr>
      <w:r>
        <w:t>4. Ambiente de Testes</w:t>
      </w:r>
    </w:p>
    <w:p>
      <w:pPr>
        <w:pStyle w:val="ListBullet"/>
      </w:pPr>
      <w:r>
        <w:t>Java 21</w:t>
      </w:r>
    </w:p>
    <w:p>
      <w:pPr>
        <w:pStyle w:val="ListBullet"/>
      </w:pPr>
      <w:r>
        <w:t>Spring Boot</w:t>
      </w:r>
    </w:p>
    <w:p>
      <w:pPr>
        <w:pStyle w:val="ListBullet"/>
      </w:pPr>
      <w:r>
        <w:t>React + Vite</w:t>
      </w:r>
    </w:p>
    <w:p>
      <w:pPr>
        <w:pStyle w:val="ListBullet"/>
      </w:pPr>
      <w:r>
        <w:t>PostgreSQL</w:t>
      </w:r>
    </w:p>
    <w:p>
      <w:pPr>
        <w:pStyle w:val="ListBullet"/>
      </w:pPr>
      <w:r>
        <w:t>Docker Compose</w:t>
      </w:r>
    </w:p>
    <w:p>
      <w:pPr>
        <w:pStyle w:val="ListBullet"/>
      </w:pPr>
      <w:r>
        <w:t>GitHub Actions</w:t>
      </w:r>
    </w:p>
    <w:p>
      <w:pPr>
        <w:pStyle w:val="ListBullet"/>
      </w:pPr>
      <w:r>
        <w:t>Redis</w:t>
      </w:r>
    </w:p>
    <w:p>
      <w:pPr>
        <w:pStyle w:val="ListBullet"/>
      </w:pPr>
      <w:r>
        <w:t>RabbitMQ</w:t>
      </w:r>
    </w:p>
    <w:p>
      <w:pPr>
        <w:pStyle w:val="ListBullet"/>
      </w:pPr>
      <w:r>
        <w:t>MinIO</w:t>
      </w:r>
    </w:p>
    <w:p>
      <w:pPr>
        <w:pStyle w:val="Heading1"/>
      </w:pPr>
      <w:r>
        <w:t>5. Casos de Teste do MVP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Caso de Teste</w:t>
            </w:r>
          </w:p>
        </w:tc>
        <w:tc>
          <w:tcPr>
            <w:tcW w:type="dxa" w:w="2880"/>
          </w:tcPr>
          <w:p>
            <w:r>
              <w:t>Resultado Esperado</w:t>
            </w:r>
          </w:p>
        </w:tc>
      </w:tr>
      <w:tr>
        <w:tc>
          <w:tcPr>
            <w:tcW w:type="dxa" w:w="2880"/>
          </w:tcPr>
          <w:p>
            <w:r>
              <w:t>CT001</w:t>
            </w:r>
          </w:p>
        </w:tc>
        <w:tc>
          <w:tcPr>
            <w:tcW w:type="dxa" w:w="2880"/>
          </w:tcPr>
          <w:p>
            <w:r>
              <w:t>Login válido</w:t>
            </w:r>
          </w:p>
        </w:tc>
        <w:tc>
          <w:tcPr>
            <w:tcW w:type="dxa" w:w="2880"/>
          </w:tcPr>
          <w:p>
            <w:r>
              <w:t>Usuário autenticado e redirecionado ao Dashboard</w:t>
            </w:r>
          </w:p>
        </w:tc>
      </w:tr>
      <w:tr>
        <w:tc>
          <w:tcPr>
            <w:tcW w:type="dxa" w:w="2880"/>
          </w:tcPr>
          <w:p>
            <w:r>
              <w:t>CT002</w:t>
            </w:r>
          </w:p>
        </w:tc>
        <w:tc>
          <w:tcPr>
            <w:tcW w:type="dxa" w:w="2880"/>
          </w:tcPr>
          <w:p>
            <w:r>
              <w:t>Login inválido</w:t>
            </w:r>
          </w:p>
        </w:tc>
        <w:tc>
          <w:tcPr>
            <w:tcW w:type="dxa" w:w="2880"/>
          </w:tcPr>
          <w:p>
            <w:r>
              <w:t>Mensagem de credenciais inválidas</w:t>
            </w:r>
          </w:p>
        </w:tc>
      </w:tr>
      <w:tr>
        <w:tc>
          <w:tcPr>
            <w:tcW w:type="dxa" w:w="2880"/>
          </w:tcPr>
          <w:p>
            <w:r>
              <w:t>CT003</w:t>
            </w:r>
          </w:p>
        </w:tc>
        <w:tc>
          <w:tcPr>
            <w:tcW w:type="dxa" w:w="2880"/>
          </w:tcPr>
          <w:p>
            <w:r>
              <w:t>Cadastrar usuário</w:t>
            </w:r>
          </w:p>
        </w:tc>
        <w:tc>
          <w:tcPr>
            <w:tcW w:type="dxa" w:w="2880"/>
          </w:tcPr>
          <w:p>
            <w:r>
              <w:t>Usuário salvo com sucesso</w:t>
            </w:r>
          </w:p>
        </w:tc>
      </w:tr>
      <w:tr>
        <w:tc>
          <w:tcPr>
            <w:tcW w:type="dxa" w:w="2880"/>
          </w:tcPr>
          <w:p>
            <w:r>
              <w:t>CT004</w:t>
            </w:r>
          </w:p>
        </w:tc>
        <w:tc>
          <w:tcPr>
            <w:tcW w:type="dxa" w:w="2880"/>
          </w:tcPr>
          <w:p>
            <w:r>
              <w:t>Cadastrar cliente</w:t>
            </w:r>
          </w:p>
        </w:tc>
        <w:tc>
          <w:tcPr>
            <w:tcW w:type="dxa" w:w="2880"/>
          </w:tcPr>
          <w:p>
            <w:r>
              <w:t>Cliente listado</w:t>
            </w:r>
          </w:p>
        </w:tc>
      </w:tr>
      <w:tr>
        <w:tc>
          <w:tcPr>
            <w:tcW w:type="dxa" w:w="2880"/>
          </w:tcPr>
          <w:p>
            <w:r>
              <w:t>CT005</w:t>
            </w:r>
          </w:p>
        </w:tc>
        <w:tc>
          <w:tcPr>
            <w:tcW w:type="dxa" w:w="2880"/>
          </w:tcPr>
          <w:p>
            <w:r>
              <w:t>Criar projeto</w:t>
            </w:r>
          </w:p>
        </w:tc>
        <w:tc>
          <w:tcPr>
            <w:tcW w:type="dxa" w:w="2880"/>
          </w:tcPr>
          <w:p>
            <w:r>
              <w:t>Projeto associado ao cliente</w:t>
            </w:r>
          </w:p>
        </w:tc>
      </w:tr>
      <w:tr>
        <w:tc>
          <w:tcPr>
            <w:tcW w:type="dxa" w:w="2880"/>
          </w:tcPr>
          <w:p>
            <w:r>
              <w:t>CT006</w:t>
            </w:r>
          </w:p>
        </w:tc>
        <w:tc>
          <w:tcPr>
            <w:tcW w:type="dxa" w:w="2880"/>
          </w:tcPr>
          <w:p>
            <w:r>
              <w:t>Criar tarefa</w:t>
            </w:r>
          </w:p>
        </w:tc>
        <w:tc>
          <w:tcPr>
            <w:tcW w:type="dxa" w:w="2880"/>
          </w:tcPr>
          <w:p>
            <w:r>
              <w:t>Tarefa vinculada ao projeto</w:t>
            </w:r>
          </w:p>
        </w:tc>
      </w:tr>
      <w:tr>
        <w:tc>
          <w:tcPr>
            <w:tcW w:type="dxa" w:w="2880"/>
          </w:tcPr>
          <w:p>
            <w:r>
              <w:t>CT007</w:t>
            </w:r>
          </w:p>
        </w:tc>
        <w:tc>
          <w:tcPr>
            <w:tcW w:type="dxa" w:w="2880"/>
          </w:tcPr>
          <w:p>
            <w:r>
              <w:t>Upload de arquivo</w:t>
            </w:r>
          </w:p>
        </w:tc>
        <w:tc>
          <w:tcPr>
            <w:tcW w:type="dxa" w:w="2880"/>
          </w:tcPr>
          <w:p>
            <w:r>
              <w:t>Arquivo armazenado no MinIO</w:t>
            </w:r>
          </w:p>
        </w:tc>
      </w:tr>
      <w:tr>
        <w:tc>
          <w:tcPr>
            <w:tcW w:type="dxa" w:w="2880"/>
          </w:tcPr>
          <w:p>
            <w:r>
              <w:t>CT008</w:t>
            </w:r>
          </w:p>
        </w:tc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Indicadores exibidos corretamente</w:t>
            </w:r>
          </w:p>
        </w:tc>
      </w:tr>
    </w:tbl>
    <w:p>
      <w:pPr>
        <w:pStyle w:val="Heading1"/>
      </w:pPr>
      <w:r>
        <w:t>6. Critérios de Entrada</w:t>
      </w:r>
    </w:p>
    <w:p>
      <w:pPr>
        <w:pStyle w:val="ListBullet"/>
      </w:pPr>
      <w:r>
        <w:t>Requisitos aprovados.</w:t>
      </w:r>
    </w:p>
    <w:p>
      <w:pPr>
        <w:pStyle w:val="ListBullet"/>
      </w:pPr>
      <w:r>
        <w:t>Build executando sem erros.</w:t>
      </w:r>
    </w:p>
    <w:p>
      <w:pPr>
        <w:pStyle w:val="ListBullet"/>
      </w:pPr>
      <w:r>
        <w:t>Ambiente disponível.</w:t>
      </w:r>
    </w:p>
    <w:p>
      <w:pPr>
        <w:pStyle w:val="ListBullet"/>
      </w:pPr>
      <w:r>
        <w:t>Banco de dados atualizado via Flyway.</w:t>
      </w:r>
    </w:p>
    <w:p>
      <w:pPr>
        <w:pStyle w:val="Heading1"/>
      </w:pPr>
      <w:r>
        <w:t>7. Critérios de Saída</w:t>
      </w:r>
    </w:p>
    <w:p>
      <w:pPr>
        <w:pStyle w:val="ListBullet"/>
      </w:pPr>
      <w:r>
        <w:t>100% dos testes críticos aprovados.</w:t>
      </w:r>
    </w:p>
    <w:p>
      <w:pPr>
        <w:pStyle w:val="ListBullet"/>
      </w:pPr>
      <w:r>
        <w:t>Sem defeitos bloqueantes.</w:t>
      </w:r>
    </w:p>
    <w:p>
      <w:pPr>
        <w:pStyle w:val="ListBullet"/>
      </w:pPr>
      <w:r>
        <w:t>Cobertura mínima de 80% para regras de negócio.</w:t>
      </w:r>
    </w:p>
    <w:p>
      <w:pPr>
        <w:pStyle w:val="ListBullet"/>
      </w:pPr>
      <w:r>
        <w:t>Relatórios de testes gerados.</w:t>
      </w:r>
    </w:p>
    <w:p>
      <w:pPr>
        <w:pStyle w:val="Heading1"/>
      </w:pPr>
      <w:r>
        <w:t>8. Matriz de Rastreabilidade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Requisito</w:t>
            </w:r>
          </w:p>
        </w:tc>
        <w:tc>
          <w:tcPr>
            <w:tcW w:type="dxa" w:w="4320"/>
          </w:tcPr>
          <w:p>
            <w:r>
              <w:t>Casos de Teste</w:t>
            </w:r>
          </w:p>
        </w:tc>
      </w:tr>
      <w:tr>
        <w:tc>
          <w:tcPr>
            <w:tcW w:type="dxa" w:w="4320"/>
          </w:tcPr>
          <w:p>
            <w:r>
              <w:t>RF001</w:t>
            </w:r>
          </w:p>
        </w:tc>
        <w:tc>
          <w:tcPr>
            <w:tcW w:type="dxa" w:w="4320"/>
          </w:tcPr>
          <w:p>
            <w:r>
              <w:t>CT003</w:t>
            </w:r>
          </w:p>
        </w:tc>
      </w:tr>
      <w:tr>
        <w:tc>
          <w:tcPr>
            <w:tcW w:type="dxa" w:w="4320"/>
          </w:tcPr>
          <w:p>
            <w:r>
              <w:t>RF002</w:t>
            </w:r>
          </w:p>
        </w:tc>
        <w:tc>
          <w:tcPr>
            <w:tcW w:type="dxa" w:w="4320"/>
          </w:tcPr>
          <w:p>
            <w:r>
              <w:t>CT001, CT002</w:t>
            </w:r>
          </w:p>
        </w:tc>
      </w:tr>
      <w:tr>
        <w:tc>
          <w:tcPr>
            <w:tcW w:type="dxa" w:w="4320"/>
          </w:tcPr>
          <w:p>
            <w:r>
              <w:t>RF005</w:t>
            </w:r>
          </w:p>
        </w:tc>
        <w:tc>
          <w:tcPr>
            <w:tcW w:type="dxa" w:w="4320"/>
          </w:tcPr>
          <w:p>
            <w:r>
              <w:t>CT004</w:t>
            </w:r>
          </w:p>
        </w:tc>
      </w:tr>
      <w:tr>
        <w:tc>
          <w:tcPr>
            <w:tcW w:type="dxa" w:w="4320"/>
          </w:tcPr>
          <w:p>
            <w:r>
              <w:t>RF008</w:t>
            </w:r>
          </w:p>
        </w:tc>
        <w:tc>
          <w:tcPr>
            <w:tcW w:type="dxa" w:w="4320"/>
          </w:tcPr>
          <w:p>
            <w:r>
              <w:t>CT005</w:t>
            </w:r>
          </w:p>
        </w:tc>
      </w:tr>
      <w:tr>
        <w:tc>
          <w:tcPr>
            <w:tcW w:type="dxa" w:w="4320"/>
          </w:tcPr>
          <w:p>
            <w:r>
              <w:t>RF010</w:t>
            </w:r>
          </w:p>
        </w:tc>
        <w:tc>
          <w:tcPr>
            <w:tcW w:type="dxa" w:w="4320"/>
          </w:tcPr>
          <w:p>
            <w:r>
              <w:t>CT006</w:t>
            </w:r>
          </w:p>
        </w:tc>
      </w:tr>
      <w:tr>
        <w:tc>
          <w:tcPr>
            <w:tcW w:type="dxa" w:w="4320"/>
          </w:tcPr>
          <w:p>
            <w:r>
              <w:t>RF012</w:t>
            </w:r>
          </w:p>
        </w:tc>
        <w:tc>
          <w:tcPr>
            <w:tcW w:type="dxa" w:w="4320"/>
          </w:tcPr>
          <w:p>
            <w:r>
              <w:t>CT007</w:t>
            </w:r>
          </w:p>
        </w:tc>
      </w:tr>
      <w:tr>
        <w:tc>
          <w:tcPr>
            <w:tcW w:type="dxa" w:w="4320"/>
          </w:tcPr>
          <w:p>
            <w:r>
              <w:t>RF019</w:t>
            </w:r>
          </w:p>
        </w:tc>
        <w:tc>
          <w:tcPr>
            <w:tcW w:type="dxa" w:w="4320"/>
          </w:tcPr>
          <w:p>
            <w:r>
              <w:t>CT008</w:t>
            </w:r>
          </w:p>
        </w:tc>
      </w:tr>
    </w:tbl>
    <w:p>
      <w:pPr>
        <w:pStyle w:val="Heading1"/>
      </w:pPr>
      <w:r>
        <w:t>9. Automação</w:t>
      </w:r>
    </w:p>
    <w:p>
      <w:pPr>
        <w:pStyle w:val="ListBullet"/>
      </w:pPr>
      <w:r>
        <w:t>JUnit + Mockito para backend.</w:t>
      </w:r>
    </w:p>
    <w:p>
      <w:pPr>
        <w:pStyle w:val="ListBullet"/>
      </w:pPr>
      <w:r>
        <w:t>Vitest + Testing Library para frontend.</w:t>
      </w:r>
    </w:p>
    <w:p>
      <w:pPr>
        <w:pStyle w:val="ListBullet"/>
      </w:pPr>
      <w:r>
        <w:t>Playwright para fluxos E2E.</w:t>
      </w:r>
    </w:p>
    <w:p>
      <w:pPr>
        <w:pStyle w:val="ListBullet"/>
      </w:pPr>
      <w:r>
        <w:t>Execução automática via GitHub Actions.</w:t>
      </w:r>
    </w:p>
    <w:p>
      <w:pPr>
        <w:pStyle w:val="Heading1"/>
      </w:pPr>
      <w:r>
        <w:t>10. Métricas de Qualidade</w:t>
      </w:r>
    </w:p>
    <w:p>
      <w:pPr>
        <w:pStyle w:val="ListBullet"/>
      </w:pPr>
      <w:r>
        <w:t>Cobertura de testes ≥ 80%.</w:t>
      </w:r>
    </w:p>
    <w:p>
      <w:pPr>
        <w:pStyle w:val="ListBullet"/>
      </w:pPr>
      <w:r>
        <w:t>Tempo médio da API &lt; 2 segundos.</w:t>
      </w:r>
    </w:p>
    <w:p>
      <w:pPr>
        <w:pStyle w:val="ListBullet"/>
      </w:pPr>
      <w:r>
        <w:t>Zero vulnerabilidades críticas.</w:t>
      </w:r>
    </w:p>
    <w:p>
      <w:pPr>
        <w:pStyle w:val="ListBullet"/>
      </w:pPr>
      <w:r>
        <w:t>Taxa de sucesso dos testes &gt; 95%.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