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INWEB Studio</w:t>
      </w:r>
    </w:p>
    <w:p>
      <w:pPr>
        <w:jc w:val="center"/>
      </w:pPr>
      <w:r>
        <w:rPr>
          <w:b/>
        </w:rPr>
        <w:t>Architecture Decision Records (ADRs)</w:t>
        <w:br/>
      </w:r>
      <w:r>
        <w:t>Versão 1.0</w:t>
        <w:br/>
        <w:t>Data: 30/06/2026</w:t>
        <w:br/>
        <w:t>Autor: Ingrid Nogueira</w:t>
      </w:r>
    </w:p>
    <w:p>
      <w:pPr>
        <w:pStyle w:val="Heading1"/>
      </w:pPr>
      <w:r>
        <w:t>1. Objetivo</w:t>
      </w:r>
    </w:p>
    <w:p>
      <w:r>
        <w:t>Este documento registra as principais decisões arquiteturais do INWEB Studio, explicando o contexto, as alternativas avaliadas, a decisão tomada e suas consequências. Os ADRs facilitam a manutenção da arquitetura ao longo do ciclo de vida do projeto.</w:t>
      </w:r>
    </w:p>
    <w:p>
      <w:pPr>
        <w:pStyle w:val="Heading1"/>
      </w:pPr>
      <w:r>
        <w:t>2. Estrutura de um ADR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Identificador da decisão</w:t>
            </w:r>
          </w:p>
        </w:tc>
      </w:tr>
      <w:tr>
        <w:tc>
          <w:tcPr>
            <w:tcW w:type="dxa" w:w="4320"/>
          </w:tcPr>
          <w:p>
            <w:r>
              <w:t>Título</w:t>
            </w:r>
          </w:p>
        </w:tc>
        <w:tc>
          <w:tcPr>
            <w:tcW w:type="dxa" w:w="4320"/>
          </w:tcPr>
          <w:p>
            <w:r>
              <w:t>Nome da decisão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Proposta, Aceita, Substituída ou Obsoleta</w:t>
            </w:r>
          </w:p>
        </w:tc>
      </w:tr>
      <w:tr>
        <w:tc>
          <w:tcPr>
            <w:tcW w:type="dxa" w:w="4320"/>
          </w:tcPr>
          <w:p>
            <w:r>
              <w:t>Contexto</w:t>
            </w:r>
          </w:p>
        </w:tc>
        <w:tc>
          <w:tcPr>
            <w:tcW w:type="dxa" w:w="4320"/>
          </w:tcPr>
          <w:p>
            <w:r>
              <w:t>Problema ou necessidade</w:t>
            </w:r>
          </w:p>
        </w:tc>
      </w:tr>
      <w:tr>
        <w:tc>
          <w:tcPr>
            <w:tcW w:type="dxa" w:w="4320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Opções consideradas</w:t>
            </w:r>
          </w:p>
        </w:tc>
      </w:tr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Alternativa escolhida</w:t>
            </w:r>
          </w:p>
        </w:tc>
      </w:tr>
      <w:tr>
        <w:tc>
          <w:tcPr>
            <w:tcW w:type="dxa" w:w="4320"/>
          </w:tcPr>
          <w:p>
            <w:r>
              <w:t>Consequências</w:t>
            </w:r>
          </w:p>
        </w:tc>
        <w:tc>
          <w:tcPr>
            <w:tcW w:type="dxa" w:w="4320"/>
          </w:tcPr>
          <w:p>
            <w:r>
              <w:t>Impactos positivos e negativos</w:t>
            </w:r>
          </w:p>
        </w:tc>
      </w:tr>
    </w:tbl>
    <w:p>
      <w:pPr>
        <w:pStyle w:val="Heading1"/>
      </w:pPr>
      <w:r>
        <w:t>3. Registros de Decisões</w:t>
      </w:r>
    </w:p>
    <w:p>
      <w:pPr>
        <w:pStyle w:val="Heading2"/>
      </w:pPr>
      <w:r>
        <w:t>ADR-001 — Arquitetura Monolítica Modular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Aceita</w:t>
            </w:r>
          </w:p>
        </w:tc>
      </w:tr>
      <w:tr>
        <w:tc>
          <w:tcPr>
            <w:tcW w:type="dxa" w:w="4320"/>
          </w:tcPr>
          <w:p>
            <w:r>
              <w:t>Contexto</w:t>
            </w:r>
          </w:p>
        </w:tc>
        <w:tc>
          <w:tcPr>
            <w:tcW w:type="dxa" w:w="4320"/>
          </w:tcPr>
          <w:p>
            <w:r>
              <w:t>Primeira versão do SaaS.</w:t>
            </w:r>
          </w:p>
        </w:tc>
      </w:tr>
      <w:tr>
        <w:tc>
          <w:tcPr>
            <w:tcW w:type="dxa" w:w="4320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Microsserviços; Monólito modular</w:t>
            </w:r>
          </w:p>
        </w:tc>
      </w:tr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Adotar monólito modular em Spring Boot.</w:t>
            </w:r>
          </w:p>
        </w:tc>
      </w:tr>
      <w:tr>
        <w:tc>
          <w:tcPr>
            <w:tcW w:type="dxa" w:w="4320"/>
          </w:tcPr>
          <w:p>
            <w:r>
              <w:t>Consequências</w:t>
            </w:r>
          </w:p>
        </w:tc>
        <w:tc>
          <w:tcPr>
            <w:tcW w:type="dxa" w:w="4320"/>
          </w:tcPr>
          <w:p>
            <w:r>
              <w:t>Desenvolvimento mais simples e menor custo; migração futura para microsserviços.</w:t>
            </w:r>
          </w:p>
        </w:tc>
      </w:tr>
      <w:tr>
        <w:tc>
          <w:tcPr>
            <w:tcW w:type="dxa" w:w="4320"/>
          </w:tcPr>
          <w:p>
            <w:r>
              <w:t>Revisão</w:t>
            </w:r>
          </w:p>
        </w:tc>
        <w:tc>
          <w:tcPr>
            <w:tcW w:type="dxa" w:w="4320"/>
          </w:tcPr>
          <w:p>
            <w:r>
              <w:t>Reavaliar em grandes mudanças arquiteturais.</w:t>
            </w:r>
          </w:p>
        </w:tc>
      </w:tr>
    </w:tbl>
    <w:p>
      <w:pPr>
        <w:pStyle w:val="Heading2"/>
      </w:pPr>
      <w:r>
        <w:t>ADR-002 — React + TypeScript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Aceita</w:t>
            </w:r>
          </w:p>
        </w:tc>
      </w:tr>
      <w:tr>
        <w:tc>
          <w:tcPr>
            <w:tcW w:type="dxa" w:w="4320"/>
          </w:tcPr>
          <w:p>
            <w:r>
              <w:t>Contexto</w:t>
            </w:r>
          </w:p>
        </w:tc>
        <w:tc>
          <w:tcPr>
            <w:tcW w:type="dxa" w:w="4320"/>
          </w:tcPr>
          <w:p>
            <w:r>
              <w:t>Necessidade de frontend moderno.</w:t>
            </w:r>
          </w:p>
        </w:tc>
      </w:tr>
      <w:tr>
        <w:tc>
          <w:tcPr>
            <w:tcW w:type="dxa" w:w="4320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Angular; Vue; React</w:t>
            </w:r>
          </w:p>
        </w:tc>
      </w:tr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Utilizar React + TypeScript + Vite.</w:t>
            </w:r>
          </w:p>
        </w:tc>
      </w:tr>
      <w:tr>
        <w:tc>
          <w:tcPr>
            <w:tcW w:type="dxa" w:w="4320"/>
          </w:tcPr>
          <w:p>
            <w:r>
              <w:t>Consequências</w:t>
            </w:r>
          </w:p>
        </w:tc>
        <w:tc>
          <w:tcPr>
            <w:tcW w:type="dxa" w:w="4320"/>
          </w:tcPr>
          <w:p>
            <w:r>
              <w:t>Alta produtividade e grande ecossistema.</w:t>
            </w:r>
          </w:p>
        </w:tc>
      </w:tr>
      <w:tr>
        <w:tc>
          <w:tcPr>
            <w:tcW w:type="dxa" w:w="4320"/>
          </w:tcPr>
          <w:p>
            <w:r>
              <w:t>Revisão</w:t>
            </w:r>
          </w:p>
        </w:tc>
        <w:tc>
          <w:tcPr>
            <w:tcW w:type="dxa" w:w="4320"/>
          </w:tcPr>
          <w:p>
            <w:r>
              <w:t>Reavaliar em grandes mudanças arquiteturais.</w:t>
            </w:r>
          </w:p>
        </w:tc>
      </w:tr>
    </w:tbl>
    <w:p>
      <w:pPr>
        <w:pStyle w:val="Heading2"/>
      </w:pPr>
      <w:r>
        <w:t>ADR-003 — Spring Boot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Aceita</w:t>
            </w:r>
          </w:p>
        </w:tc>
      </w:tr>
      <w:tr>
        <w:tc>
          <w:tcPr>
            <w:tcW w:type="dxa" w:w="4320"/>
          </w:tcPr>
          <w:p>
            <w:r>
              <w:t>Contexto</w:t>
            </w:r>
          </w:p>
        </w:tc>
        <w:tc>
          <w:tcPr>
            <w:tcW w:type="dxa" w:w="4320"/>
          </w:tcPr>
          <w:p>
            <w:r>
              <w:t>Backend robusto e escalável.</w:t>
            </w:r>
          </w:p>
        </w:tc>
      </w:tr>
      <w:tr>
        <w:tc>
          <w:tcPr>
            <w:tcW w:type="dxa" w:w="4320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Node.js; .NET; Spring Boot</w:t>
            </w:r>
          </w:p>
        </w:tc>
      </w:tr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Utilizar Java 21 + Spring Boot.</w:t>
            </w:r>
          </w:p>
        </w:tc>
      </w:tr>
      <w:tr>
        <w:tc>
          <w:tcPr>
            <w:tcW w:type="dxa" w:w="4320"/>
          </w:tcPr>
          <w:p>
            <w:r>
              <w:t>Consequências</w:t>
            </w:r>
          </w:p>
        </w:tc>
        <w:tc>
          <w:tcPr>
            <w:tcW w:type="dxa" w:w="4320"/>
          </w:tcPr>
          <w:p>
            <w:r>
              <w:t>Excelente suporte para aplicações corporativas.</w:t>
            </w:r>
          </w:p>
        </w:tc>
      </w:tr>
      <w:tr>
        <w:tc>
          <w:tcPr>
            <w:tcW w:type="dxa" w:w="4320"/>
          </w:tcPr>
          <w:p>
            <w:r>
              <w:t>Revisão</w:t>
            </w:r>
          </w:p>
        </w:tc>
        <w:tc>
          <w:tcPr>
            <w:tcW w:type="dxa" w:w="4320"/>
          </w:tcPr>
          <w:p>
            <w:r>
              <w:t>Reavaliar em grandes mudanças arquiteturais.</w:t>
            </w:r>
          </w:p>
        </w:tc>
      </w:tr>
    </w:tbl>
    <w:p>
      <w:pPr>
        <w:pStyle w:val="Heading2"/>
      </w:pPr>
      <w:r>
        <w:t>ADR-004 —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Aceita</w:t>
            </w:r>
          </w:p>
        </w:tc>
      </w:tr>
      <w:tr>
        <w:tc>
          <w:tcPr>
            <w:tcW w:type="dxa" w:w="4320"/>
          </w:tcPr>
          <w:p>
            <w:r>
              <w:t>Contexto</w:t>
            </w:r>
          </w:p>
        </w:tc>
        <w:tc>
          <w:tcPr>
            <w:tcW w:type="dxa" w:w="4320"/>
          </w:tcPr>
          <w:p>
            <w:r>
              <w:t>Banco relacional para dados transacionais.</w:t>
            </w:r>
          </w:p>
        </w:tc>
      </w:tr>
      <w:tr>
        <w:tc>
          <w:tcPr>
            <w:tcW w:type="dxa" w:w="4320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MySQL; SQL Server; PostgreSQL</w:t>
            </w:r>
          </w:p>
        </w:tc>
      </w:tr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Adotar PostgreSQL.</w:t>
            </w:r>
          </w:p>
        </w:tc>
      </w:tr>
      <w:tr>
        <w:tc>
          <w:tcPr>
            <w:tcW w:type="dxa" w:w="4320"/>
          </w:tcPr>
          <w:p>
            <w:r>
              <w:t>Consequências</w:t>
            </w:r>
          </w:p>
        </w:tc>
        <w:tc>
          <w:tcPr>
            <w:tcW w:type="dxa" w:w="4320"/>
          </w:tcPr>
          <w:p>
            <w:r>
              <w:t>Confiabilidade, recursos avançados e licença aberta.</w:t>
            </w:r>
          </w:p>
        </w:tc>
      </w:tr>
      <w:tr>
        <w:tc>
          <w:tcPr>
            <w:tcW w:type="dxa" w:w="4320"/>
          </w:tcPr>
          <w:p>
            <w:r>
              <w:t>Revisão</w:t>
            </w:r>
          </w:p>
        </w:tc>
        <w:tc>
          <w:tcPr>
            <w:tcW w:type="dxa" w:w="4320"/>
          </w:tcPr>
          <w:p>
            <w:r>
              <w:t>Reavaliar em grandes mudanças arquiteturais.</w:t>
            </w:r>
          </w:p>
        </w:tc>
      </w:tr>
    </w:tbl>
    <w:p>
      <w:pPr>
        <w:pStyle w:val="Heading2"/>
      </w:pPr>
      <w:r>
        <w:t>ADR-005 — 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Aceita</w:t>
            </w:r>
          </w:p>
        </w:tc>
      </w:tr>
      <w:tr>
        <w:tc>
          <w:tcPr>
            <w:tcW w:type="dxa" w:w="4320"/>
          </w:tcPr>
          <w:p>
            <w:r>
              <w:t>Contexto</w:t>
            </w:r>
          </w:p>
        </w:tc>
        <w:tc>
          <w:tcPr>
            <w:tcW w:type="dxa" w:w="4320"/>
          </w:tcPr>
          <w:p>
            <w:r>
              <w:t>Autenticação stateless.</w:t>
            </w:r>
          </w:p>
        </w:tc>
      </w:tr>
      <w:tr>
        <w:tc>
          <w:tcPr>
            <w:tcW w:type="dxa" w:w="4320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Session; OAuth apenas</w:t>
            </w:r>
          </w:p>
        </w:tc>
      </w:tr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JWT com Spring Security.</w:t>
            </w:r>
          </w:p>
        </w:tc>
      </w:tr>
      <w:tr>
        <w:tc>
          <w:tcPr>
            <w:tcW w:type="dxa" w:w="4320"/>
          </w:tcPr>
          <w:p>
            <w:r>
              <w:t>Consequências</w:t>
            </w:r>
          </w:p>
        </w:tc>
        <w:tc>
          <w:tcPr>
            <w:tcW w:type="dxa" w:w="4320"/>
          </w:tcPr>
          <w:p>
            <w:r>
              <w:t>Escalabilidade e integração simples.</w:t>
            </w:r>
          </w:p>
        </w:tc>
      </w:tr>
      <w:tr>
        <w:tc>
          <w:tcPr>
            <w:tcW w:type="dxa" w:w="4320"/>
          </w:tcPr>
          <w:p>
            <w:r>
              <w:t>Revisão</w:t>
            </w:r>
          </w:p>
        </w:tc>
        <w:tc>
          <w:tcPr>
            <w:tcW w:type="dxa" w:w="4320"/>
          </w:tcPr>
          <w:p>
            <w:r>
              <w:t>Reavaliar em grandes mudanças arquiteturais.</w:t>
            </w:r>
          </w:p>
        </w:tc>
      </w:tr>
    </w:tbl>
    <w:p>
      <w:pPr>
        <w:pStyle w:val="Heading2"/>
      </w:pPr>
      <w:r>
        <w:t>ADR-006 — Docker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Aceita</w:t>
            </w:r>
          </w:p>
        </w:tc>
      </w:tr>
      <w:tr>
        <w:tc>
          <w:tcPr>
            <w:tcW w:type="dxa" w:w="4320"/>
          </w:tcPr>
          <w:p>
            <w:r>
              <w:t>Contexto</w:t>
            </w:r>
          </w:p>
        </w:tc>
        <w:tc>
          <w:tcPr>
            <w:tcW w:type="dxa" w:w="4320"/>
          </w:tcPr>
          <w:p>
            <w:r>
              <w:t>Padronizar ambientes.</w:t>
            </w:r>
          </w:p>
        </w:tc>
      </w:tr>
      <w:tr>
        <w:tc>
          <w:tcPr>
            <w:tcW w:type="dxa" w:w="4320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Instalação manual; Docker</w:t>
            </w:r>
          </w:p>
        </w:tc>
      </w:tr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Containerizar todos os serviços.</w:t>
            </w:r>
          </w:p>
        </w:tc>
      </w:tr>
      <w:tr>
        <w:tc>
          <w:tcPr>
            <w:tcW w:type="dxa" w:w="4320"/>
          </w:tcPr>
          <w:p>
            <w:r>
              <w:t>Consequências</w:t>
            </w:r>
          </w:p>
        </w:tc>
        <w:tc>
          <w:tcPr>
            <w:tcW w:type="dxa" w:w="4320"/>
          </w:tcPr>
          <w:p>
            <w:r>
              <w:t>Ambientes reproduzíveis.</w:t>
            </w:r>
          </w:p>
        </w:tc>
      </w:tr>
      <w:tr>
        <w:tc>
          <w:tcPr>
            <w:tcW w:type="dxa" w:w="4320"/>
          </w:tcPr>
          <w:p>
            <w:r>
              <w:t>Revisão</w:t>
            </w:r>
          </w:p>
        </w:tc>
        <w:tc>
          <w:tcPr>
            <w:tcW w:type="dxa" w:w="4320"/>
          </w:tcPr>
          <w:p>
            <w:r>
              <w:t>Reavaliar em grandes mudanças arquiteturais.</w:t>
            </w:r>
          </w:p>
        </w:tc>
      </w:tr>
    </w:tbl>
    <w:p>
      <w:pPr>
        <w:pStyle w:val="Heading2"/>
      </w:pPr>
      <w:r>
        <w:t>ADR-007 — Flyway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Aceita</w:t>
            </w:r>
          </w:p>
        </w:tc>
      </w:tr>
      <w:tr>
        <w:tc>
          <w:tcPr>
            <w:tcW w:type="dxa" w:w="4320"/>
          </w:tcPr>
          <w:p>
            <w:r>
              <w:t>Contexto</w:t>
            </w:r>
          </w:p>
        </w:tc>
        <w:tc>
          <w:tcPr>
            <w:tcW w:type="dxa" w:w="4320"/>
          </w:tcPr>
          <w:p>
            <w:r>
              <w:t>Versionar banco de dados.</w:t>
            </w:r>
          </w:p>
        </w:tc>
      </w:tr>
      <w:tr>
        <w:tc>
          <w:tcPr>
            <w:tcW w:type="dxa" w:w="4320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Liquibase; Flyway</w:t>
            </w:r>
          </w:p>
        </w:tc>
      </w:tr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Flyway.</w:t>
            </w:r>
          </w:p>
        </w:tc>
      </w:tr>
      <w:tr>
        <w:tc>
          <w:tcPr>
            <w:tcW w:type="dxa" w:w="4320"/>
          </w:tcPr>
          <w:p>
            <w:r>
              <w:t>Consequências</w:t>
            </w:r>
          </w:p>
        </w:tc>
        <w:tc>
          <w:tcPr>
            <w:tcW w:type="dxa" w:w="4320"/>
          </w:tcPr>
          <w:p>
            <w:r>
              <w:t>Controle das migrações.</w:t>
            </w:r>
          </w:p>
        </w:tc>
      </w:tr>
      <w:tr>
        <w:tc>
          <w:tcPr>
            <w:tcW w:type="dxa" w:w="4320"/>
          </w:tcPr>
          <w:p>
            <w:r>
              <w:t>Revisão</w:t>
            </w:r>
          </w:p>
        </w:tc>
        <w:tc>
          <w:tcPr>
            <w:tcW w:type="dxa" w:w="4320"/>
          </w:tcPr>
          <w:p>
            <w:r>
              <w:t>Reavaliar em grandes mudanças arquiteturais.</w:t>
            </w:r>
          </w:p>
        </w:tc>
      </w:tr>
    </w:tbl>
    <w:p>
      <w:pPr>
        <w:pStyle w:val="Heading2"/>
      </w:pPr>
      <w:r>
        <w:t>ADR-008 — Redis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Aceita</w:t>
            </w:r>
          </w:p>
        </w:tc>
      </w:tr>
      <w:tr>
        <w:tc>
          <w:tcPr>
            <w:tcW w:type="dxa" w:w="4320"/>
          </w:tcPr>
          <w:p>
            <w:r>
              <w:t>Contexto</w:t>
            </w:r>
          </w:p>
        </w:tc>
        <w:tc>
          <w:tcPr>
            <w:tcW w:type="dxa" w:w="4320"/>
          </w:tcPr>
          <w:p>
            <w:r>
              <w:t>Melhorar desempenho.</w:t>
            </w:r>
          </w:p>
        </w:tc>
      </w:tr>
      <w:tr>
        <w:tc>
          <w:tcPr>
            <w:tcW w:type="dxa" w:w="4320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Sem cache; Redis</w:t>
            </w:r>
          </w:p>
        </w:tc>
      </w:tr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Utilizar Redis para cache.</w:t>
            </w:r>
          </w:p>
        </w:tc>
      </w:tr>
      <w:tr>
        <w:tc>
          <w:tcPr>
            <w:tcW w:type="dxa" w:w="4320"/>
          </w:tcPr>
          <w:p>
            <w:r>
              <w:t>Consequências</w:t>
            </w:r>
          </w:p>
        </w:tc>
        <w:tc>
          <w:tcPr>
            <w:tcW w:type="dxa" w:w="4320"/>
          </w:tcPr>
          <w:p>
            <w:r>
              <w:t>Redução de latência.</w:t>
            </w:r>
          </w:p>
        </w:tc>
      </w:tr>
      <w:tr>
        <w:tc>
          <w:tcPr>
            <w:tcW w:type="dxa" w:w="4320"/>
          </w:tcPr>
          <w:p>
            <w:r>
              <w:t>Revisão</w:t>
            </w:r>
          </w:p>
        </w:tc>
        <w:tc>
          <w:tcPr>
            <w:tcW w:type="dxa" w:w="4320"/>
          </w:tcPr>
          <w:p>
            <w:r>
              <w:t>Reavaliar em grandes mudanças arquiteturais.</w:t>
            </w:r>
          </w:p>
        </w:tc>
      </w:tr>
    </w:tbl>
    <w:p>
      <w:pPr>
        <w:pStyle w:val="Heading2"/>
      </w:pPr>
      <w:r>
        <w:t>ADR-009 — RabbitMQ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Aceita</w:t>
            </w:r>
          </w:p>
        </w:tc>
      </w:tr>
      <w:tr>
        <w:tc>
          <w:tcPr>
            <w:tcW w:type="dxa" w:w="4320"/>
          </w:tcPr>
          <w:p>
            <w:r>
              <w:t>Contexto</w:t>
            </w:r>
          </w:p>
        </w:tc>
        <w:tc>
          <w:tcPr>
            <w:tcW w:type="dxa" w:w="4320"/>
          </w:tcPr>
          <w:p>
            <w:r>
              <w:t>Processamento assíncrono.</w:t>
            </w:r>
          </w:p>
        </w:tc>
      </w:tr>
      <w:tr>
        <w:tc>
          <w:tcPr>
            <w:tcW w:type="dxa" w:w="4320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Kafka; RabbitMQ</w:t>
            </w:r>
          </w:p>
        </w:tc>
      </w:tr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RabbitMQ.</w:t>
            </w:r>
          </w:p>
        </w:tc>
      </w:tr>
      <w:tr>
        <w:tc>
          <w:tcPr>
            <w:tcW w:type="dxa" w:w="4320"/>
          </w:tcPr>
          <w:p>
            <w:r>
              <w:t>Consequências</w:t>
            </w:r>
          </w:p>
        </w:tc>
        <w:tc>
          <w:tcPr>
            <w:tcW w:type="dxa" w:w="4320"/>
          </w:tcPr>
          <w:p>
            <w:r>
              <w:t>Desacoplamento entre processos.</w:t>
            </w:r>
          </w:p>
        </w:tc>
      </w:tr>
      <w:tr>
        <w:tc>
          <w:tcPr>
            <w:tcW w:type="dxa" w:w="4320"/>
          </w:tcPr>
          <w:p>
            <w:r>
              <w:t>Revisão</w:t>
            </w:r>
          </w:p>
        </w:tc>
        <w:tc>
          <w:tcPr>
            <w:tcW w:type="dxa" w:w="4320"/>
          </w:tcPr>
          <w:p>
            <w:r>
              <w:t>Reavaliar em grandes mudanças arquiteturais.</w:t>
            </w:r>
          </w:p>
        </w:tc>
      </w:tr>
    </w:tbl>
    <w:p>
      <w:pPr>
        <w:pStyle w:val="Heading2"/>
      </w:pPr>
      <w:r>
        <w:t>ADR-010 — MinIO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Aceita</w:t>
            </w:r>
          </w:p>
        </w:tc>
      </w:tr>
      <w:tr>
        <w:tc>
          <w:tcPr>
            <w:tcW w:type="dxa" w:w="4320"/>
          </w:tcPr>
          <w:p>
            <w:r>
              <w:t>Contexto</w:t>
            </w:r>
          </w:p>
        </w:tc>
        <w:tc>
          <w:tcPr>
            <w:tcW w:type="dxa" w:w="4320"/>
          </w:tcPr>
          <w:p>
            <w:r>
              <w:t>Armazenar arquivos.</w:t>
            </w:r>
          </w:p>
        </w:tc>
      </w:tr>
      <w:tr>
        <w:tc>
          <w:tcPr>
            <w:tcW w:type="dxa" w:w="4320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Sistema local; S3; MinIO</w:t>
            </w:r>
          </w:p>
        </w:tc>
      </w:tr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MinIO compatível com S3.</w:t>
            </w:r>
          </w:p>
        </w:tc>
      </w:tr>
      <w:tr>
        <w:tc>
          <w:tcPr>
            <w:tcW w:type="dxa" w:w="4320"/>
          </w:tcPr>
          <w:p>
            <w:r>
              <w:t>Consequências</w:t>
            </w:r>
          </w:p>
        </w:tc>
        <w:tc>
          <w:tcPr>
            <w:tcW w:type="dxa" w:w="4320"/>
          </w:tcPr>
          <w:p>
            <w:r>
              <w:t>Facilidade para ambiente local e produção.</w:t>
            </w:r>
          </w:p>
        </w:tc>
      </w:tr>
      <w:tr>
        <w:tc>
          <w:tcPr>
            <w:tcW w:type="dxa" w:w="4320"/>
          </w:tcPr>
          <w:p>
            <w:r>
              <w:t>Revisão</w:t>
            </w:r>
          </w:p>
        </w:tc>
        <w:tc>
          <w:tcPr>
            <w:tcW w:type="dxa" w:w="4320"/>
          </w:tcPr>
          <w:p>
            <w:r>
              <w:t>Reavaliar em grandes mudanças arquiteturais.</w:t>
            </w:r>
          </w:p>
        </w:tc>
      </w:tr>
    </w:tbl>
    <w:p>
      <w:pPr>
        <w:pStyle w:val="Heading1"/>
      </w:pPr>
      <w:r>
        <w:t>4. Processo de Atualização</w:t>
      </w:r>
    </w:p>
    <w:p>
      <w:pPr>
        <w:pStyle w:val="ListBullet"/>
      </w:pPr>
      <w:r>
        <w:t>Criar um novo ADR para cada decisão relevante.</w:t>
      </w:r>
    </w:p>
    <w:p>
      <w:pPr>
        <w:pStyle w:val="ListBullet"/>
      </w:pPr>
      <w:r>
        <w:t>Nunca apagar ADRs antigos; marcá-los como substituídos quando necessário.</w:t>
      </w:r>
    </w:p>
    <w:p>
      <w:pPr>
        <w:pStyle w:val="ListBullet"/>
      </w:pPr>
      <w:r>
        <w:t>Referenciar o ADR correspondente em pull requests importantes.</w:t>
      </w:r>
    </w:p>
    <w:p>
      <w:pPr>
        <w:pStyle w:val="ListBullet"/>
      </w:pPr>
      <w:r>
        <w:t>Revisar ADRs a cada grande versão do sistema.</w:t>
      </w:r>
    </w:p>
    <w:p>
      <w:pPr>
        <w:pStyle w:val="Heading1"/>
      </w:pPr>
      <w:r>
        <w:t>5. Histórico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30/06/2026</w:t>
            </w:r>
          </w:p>
        </w:tc>
        <w:tc>
          <w:tcPr>
            <w:tcW w:type="dxa" w:w="2160"/>
          </w:tcPr>
          <w:p>
            <w:r>
              <w:t>Ingrid Nogueira</w:t>
            </w:r>
          </w:p>
        </w:tc>
        <w:tc>
          <w:tcPr>
            <w:tcW w:type="dxa" w:w="2160"/>
          </w:tcPr>
          <w:p>
            <w:r>
              <w:t>Criação inicial dos ADRs.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