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Design System (Atualizado com a Identidade Visual da Marca)</w:t>
        <w:br/>
      </w:r>
      <w:r>
        <w:t>Versão 1.1</w:t>
      </w:r>
    </w:p>
    <w:p>
      <w:pPr>
        <w:pStyle w:val="Heading1"/>
      </w:pPr>
      <w:r>
        <w:t>1. Conceito Visual</w:t>
      </w:r>
    </w:p>
    <w:p>
      <w:r>
        <w:t>A identidade visual do INWEB Studio transmite tecnologia, confiança, criatividade e sofisticação. A paleta utiliza tons escuros como base, combinados com magenta e vinho para destacar ações importantes.</w:t>
      </w:r>
    </w:p>
    <w:p>
      <w:pPr>
        <w:pStyle w:val="Heading1"/>
      </w:pPr>
      <w:r>
        <w:t>2. Paleta Oficial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Token</w:t>
            </w:r>
          </w:p>
        </w:tc>
        <w:tc>
          <w:tcPr>
            <w:tcW w:type="dxa" w:w="2160"/>
          </w:tcPr>
          <w:p>
            <w:r>
              <w:t>Uso</w:t>
            </w:r>
          </w:p>
        </w:tc>
        <w:tc>
          <w:tcPr>
            <w:tcW w:type="dxa" w:w="2160"/>
          </w:tcPr>
          <w:p>
            <w:r>
              <w:t>HEX</w:t>
            </w:r>
          </w:p>
        </w:tc>
        <w:tc>
          <w:tcPr>
            <w:tcW w:type="dxa" w:w="2160"/>
          </w:tcPr>
          <w:p>
            <w:r>
              <w:t>Observação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Botões primários, links, logo</w:t>
            </w:r>
          </w:p>
        </w:tc>
        <w:tc>
          <w:tcPr>
            <w:tcW w:type="dxa" w:w="2160"/>
          </w:tcPr>
          <w:p>
            <w:r>
              <w:t>#101B37</w:t>
            </w:r>
          </w:p>
        </w:tc>
        <w:tc>
          <w:tcPr>
            <w:tcW w:type="dxa" w:w="2160"/>
          </w:tcPr>
          <w:p>
            <w:r>
              <w:t>Azul-marinho</w:t>
            </w:r>
          </w:p>
        </w:tc>
      </w:tr>
      <w:tr>
        <w:tc>
          <w:tcPr>
            <w:tcW w:type="dxa" w:w="2160"/>
          </w:tcPr>
          <w:p>
            <w:r>
              <w:t>Secondary</w:t>
            </w:r>
          </w:p>
        </w:tc>
        <w:tc>
          <w:tcPr>
            <w:tcW w:type="dxa" w:w="2160"/>
          </w:tcPr>
          <w:p>
            <w:r>
              <w:t>Sidebar, menus e superfícies</w:t>
            </w:r>
          </w:p>
        </w:tc>
        <w:tc>
          <w:tcPr>
            <w:tcW w:type="dxa" w:w="2160"/>
          </w:tcPr>
          <w:p>
            <w:r>
              <w:t>#3C3F41</w:t>
            </w:r>
          </w:p>
        </w:tc>
        <w:tc>
          <w:tcPr>
            <w:tcW w:type="dxa" w:w="2160"/>
          </w:tcPr>
          <w:p>
            <w:r>
              <w:t>Cinza escuro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Texto secundário</w:t>
            </w:r>
          </w:p>
        </w:tc>
        <w:tc>
          <w:tcPr>
            <w:tcW w:type="dxa" w:w="2160"/>
          </w:tcPr>
          <w:p>
            <w:r>
              <w:t>#7A7A7A</w:t>
            </w:r>
          </w:p>
        </w:tc>
        <w:tc>
          <w:tcPr>
            <w:tcW w:type="dxa" w:w="2160"/>
          </w:tcPr>
          <w:p>
            <w:r>
              <w:t>Cinza</w:t>
            </w:r>
          </w:p>
        </w:tc>
      </w:tr>
      <w:tr>
        <w:tc>
          <w:tcPr>
            <w:tcW w:type="dxa" w:w="2160"/>
          </w:tcPr>
          <w:p>
            <w:r>
              <w:t>Accent</w:t>
            </w:r>
          </w:p>
        </w:tc>
        <w:tc>
          <w:tcPr>
            <w:tcW w:type="dxa" w:w="2160"/>
          </w:tcPr>
          <w:p>
            <w:r>
              <w:t>CTA, ações principais</w:t>
            </w:r>
          </w:p>
        </w:tc>
        <w:tc>
          <w:tcPr>
            <w:tcW w:type="dxa" w:w="2160"/>
          </w:tcPr>
          <w:p>
            <w:r>
              <w:t>#E31378</w:t>
            </w:r>
          </w:p>
        </w:tc>
        <w:tc>
          <w:tcPr>
            <w:tcW w:type="dxa" w:w="2160"/>
          </w:tcPr>
          <w:p>
            <w:r>
              <w:t>Magenta</w:t>
            </w:r>
          </w:p>
        </w:tc>
      </w:tr>
      <w:tr>
        <w:tc>
          <w:tcPr>
            <w:tcW w:type="dxa" w:w="2160"/>
          </w:tcPr>
          <w:p>
            <w:r>
              <w:t>Wine</w:t>
            </w:r>
          </w:p>
        </w:tc>
        <w:tc>
          <w:tcPr>
            <w:tcW w:type="dxa" w:w="2160"/>
          </w:tcPr>
          <w:p>
            <w:r>
              <w:t>Elementos premium e gráficos</w:t>
            </w:r>
          </w:p>
        </w:tc>
        <w:tc>
          <w:tcPr>
            <w:tcW w:type="dxa" w:w="2160"/>
          </w:tcPr>
          <w:p>
            <w:r>
              <w:t>#761E61</w:t>
            </w:r>
          </w:p>
        </w:tc>
        <w:tc>
          <w:tcPr>
            <w:tcW w:type="dxa" w:w="2160"/>
          </w:tcPr>
          <w:p>
            <w:r>
              <w:t>Vinho</w:t>
            </w:r>
          </w:p>
        </w:tc>
      </w:tr>
      <w:tr>
        <w:tc>
          <w:tcPr>
            <w:tcW w:type="dxa" w:w="2160"/>
          </w:tcPr>
          <w:p>
            <w:r>
              <w:t>Brand Blue</w:t>
            </w:r>
          </w:p>
        </w:tc>
        <w:tc>
          <w:tcPr>
            <w:tcW w:type="dxa" w:w="2160"/>
          </w:tcPr>
          <w:p>
            <w:r>
              <w:t>Destaques e gráficos</w:t>
            </w:r>
          </w:p>
        </w:tc>
        <w:tc>
          <w:tcPr>
            <w:tcW w:type="dxa" w:w="2160"/>
          </w:tcPr>
          <w:p>
            <w:r>
              <w:t>#4E4298</w:t>
            </w:r>
          </w:p>
        </w:tc>
        <w:tc>
          <w:tcPr>
            <w:tcW w:type="dxa" w:w="2160"/>
          </w:tcPr>
          <w:p>
            <w:r>
              <w:t>Azul institucional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Fundo da aplicação</w:t>
            </w:r>
          </w:p>
        </w:tc>
        <w:tc>
          <w:tcPr>
            <w:tcW w:type="dxa" w:w="2160"/>
          </w:tcPr>
          <w:p>
            <w:r>
              <w:t>#F8FAFC</w:t>
            </w:r>
          </w:p>
        </w:tc>
        <w:tc>
          <w:tcPr>
            <w:tcW w:type="dxa" w:w="2160"/>
          </w:tcPr>
          <w:p>
            <w:r>
              <w:t>Neutro</w:t>
            </w:r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Cards e modais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Superfície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Divisórias</w:t>
            </w:r>
          </w:p>
        </w:tc>
        <w:tc>
          <w:tcPr>
            <w:tcW w:type="dxa" w:w="2160"/>
          </w:tcPr>
          <w:p>
            <w:r>
              <w:t>#E2E8F0</w:t>
            </w:r>
          </w:p>
        </w:tc>
        <w:tc>
          <w:tcPr>
            <w:tcW w:type="dxa" w:w="2160"/>
          </w:tcPr>
          <w:p>
            <w:r>
              <w:t>Bordas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Mensagens positivas</w:t>
            </w:r>
          </w:p>
        </w:tc>
        <w:tc>
          <w:tcPr>
            <w:tcW w:type="dxa" w:w="2160"/>
          </w:tcPr>
          <w:p>
            <w:r>
              <w:t>#16A34A</w:t>
            </w:r>
          </w:p>
        </w:tc>
        <w:tc>
          <w:tcPr>
            <w:tcW w:type="dxa" w:w="2160"/>
          </w:tcPr>
          <w:p>
            <w:r>
              <w:t>Sucesso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Alertas</w:t>
            </w:r>
          </w:p>
        </w:tc>
        <w:tc>
          <w:tcPr>
            <w:tcW w:type="dxa" w:w="2160"/>
          </w:tcPr>
          <w:p>
            <w:r>
              <w:t>#F59E0B</w:t>
            </w:r>
          </w:p>
        </w:tc>
        <w:tc>
          <w:tcPr>
            <w:tcW w:type="dxa" w:w="2160"/>
          </w:tcPr>
          <w:p>
            <w:r>
              <w:t>Aviso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Erros</w:t>
            </w:r>
          </w:p>
        </w:tc>
        <w:tc>
          <w:tcPr>
            <w:tcW w:type="dxa" w:w="2160"/>
          </w:tcPr>
          <w:p>
            <w:r>
              <w:t>#DC2626</w:t>
            </w:r>
          </w:p>
        </w:tc>
        <w:tc>
          <w:tcPr>
            <w:tcW w:type="dxa" w:w="2160"/>
          </w:tcPr>
          <w:p>
            <w:r>
              <w:t>Erro</w:t>
            </w:r>
          </w:p>
        </w:tc>
      </w:tr>
    </w:tbl>
    <w:p>
      <w:pPr>
        <w:pStyle w:val="Heading1"/>
      </w:pPr>
      <w:r>
        <w:t>3. Aplicação das Cores</w:t>
      </w:r>
    </w:p>
    <w:p>
      <w:pPr>
        <w:pStyle w:val="ListBullet"/>
      </w:pPr>
      <w:r>
        <w:rPr>
          <w:b/>
        </w:rPr>
        <w:t xml:space="preserve">Primary (#101B37): </w:t>
      </w:r>
      <w:r>
        <w:t>Logo, botão principal, links ativos, barra superior.</w:t>
      </w:r>
    </w:p>
    <w:p>
      <w:pPr>
        <w:pStyle w:val="ListBullet"/>
      </w:pPr>
      <w:r>
        <w:rPr>
          <w:b/>
        </w:rPr>
        <w:t xml:space="preserve">Secondary (#3C3F41): </w:t>
      </w:r>
      <w:r>
        <w:t>Sidebar, menus, cards escuros.</w:t>
      </w:r>
    </w:p>
    <w:p>
      <w:pPr>
        <w:pStyle w:val="ListBullet"/>
      </w:pPr>
      <w:r>
        <w:rPr>
          <w:b/>
        </w:rPr>
        <w:t xml:space="preserve">Accent (#E31378): </w:t>
      </w:r>
      <w:r>
        <w:t>Botões de destaque, FAB, indicadores ativos.</w:t>
      </w:r>
    </w:p>
    <w:p>
      <w:pPr>
        <w:pStyle w:val="ListBullet"/>
      </w:pPr>
      <w:r>
        <w:rPr>
          <w:b/>
        </w:rPr>
        <w:t xml:space="preserve">Wine (#761E61): </w:t>
      </w:r>
      <w:r>
        <w:t>Badges premium, gráficos comparativos.</w:t>
      </w:r>
    </w:p>
    <w:p>
      <w:pPr>
        <w:pStyle w:val="ListBullet"/>
      </w:pPr>
      <w:r>
        <w:rPr>
          <w:b/>
        </w:rPr>
        <w:t xml:space="preserve">Brand Blue (#4E4298): </w:t>
      </w:r>
      <w:r>
        <w:t>KPIs, gráficos e estados informativos.</w:t>
      </w:r>
    </w:p>
    <w:p>
      <w:pPr>
        <w:pStyle w:val="ListBullet"/>
      </w:pPr>
      <w:r>
        <w:rPr>
          <w:b/>
        </w:rPr>
        <w:t xml:space="preserve">Text (#7A7A7A): </w:t>
      </w:r>
      <w:r>
        <w:t>Textos secundários e placeholders.</w:t>
      </w:r>
    </w:p>
    <w:p>
      <w:pPr>
        <w:pStyle w:val="Heading1"/>
      </w:pPr>
      <w:r>
        <w:t>4. Tipografia</w:t>
      </w:r>
    </w:p>
    <w:p>
      <w:r>
        <w:t>Fonte principal: Inter</w:t>
      </w:r>
    </w:p>
    <w:p>
      <w:r>
        <w:t>Títulos: 700 | Corpo: 400 | Botões: 600</w:t>
      </w:r>
    </w:p>
    <w:p>
      <w:pPr>
        <w:pStyle w:val="Heading1"/>
      </w:pPr>
      <w:r>
        <w:t>5. Componentes</w:t>
      </w:r>
    </w:p>
    <w:p>
      <w:pPr>
        <w:pStyle w:val="ListBullet"/>
      </w:pPr>
      <w:r>
        <w:t>Botão Primário: fundo Primary e texto branco.</w:t>
      </w:r>
    </w:p>
    <w:p>
      <w:pPr>
        <w:pStyle w:val="ListBullet"/>
      </w:pPr>
      <w:r>
        <w:t>Botão Secundário: fundo Secondary e texto branco.</w:t>
      </w:r>
    </w:p>
    <w:p>
      <w:pPr>
        <w:pStyle w:val="ListBullet"/>
      </w:pPr>
      <w:r>
        <w:t>Botão CTA: fundo Accent.</w:t>
      </w:r>
    </w:p>
    <w:p>
      <w:pPr>
        <w:pStyle w:val="ListBullet"/>
      </w:pPr>
      <w:r>
        <w:t>Badge Premium: fundo Wine.</w:t>
      </w:r>
    </w:p>
    <w:p>
      <w:pPr>
        <w:pStyle w:val="ListBullet"/>
      </w:pPr>
      <w:r>
        <w:t>Cards: fundo branco com borda cinza.</w:t>
      </w:r>
    </w:p>
    <w:p>
      <w:pPr>
        <w:pStyle w:val="ListBullet"/>
      </w:pPr>
      <w:r>
        <w:t>Sidebar: Secondary.</w:t>
      </w:r>
    </w:p>
    <w:p>
      <w:pPr>
        <w:pStyle w:val="ListBullet"/>
      </w:pPr>
      <w:r>
        <w:t>Topbar: Primary.</w:t>
      </w:r>
    </w:p>
    <w:p>
      <w:pPr>
        <w:pStyle w:val="Heading1"/>
      </w:pPr>
      <w:r>
        <w:t>6. Tema Claro e Escuro</w:t>
      </w:r>
    </w:p>
    <w:p>
      <w:r>
        <w:t>Light Mode: fundo branco/cinza claro com Primary para navegação.</w:t>
      </w:r>
    </w:p>
    <w:p>
      <w:r>
        <w:t>Dark Mode (futuro): fundo Primary, superfícies Secondary e Accent para destaques.</w:t>
      </w:r>
    </w:p>
    <w:p>
      <w:pPr>
        <w:pStyle w:val="Heading1"/>
      </w:pPr>
      <w:r>
        <w:t>7. Design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color-primary</w:t>
            </w:r>
          </w:p>
        </w:tc>
        <w:tc>
          <w:tcPr>
            <w:tcW w:type="dxa" w:w="4320"/>
          </w:tcPr>
          <w:p>
            <w:r>
              <w:t>#101B37</w:t>
            </w:r>
          </w:p>
        </w:tc>
      </w:tr>
      <w:tr>
        <w:tc>
          <w:tcPr>
            <w:tcW w:type="dxa" w:w="4320"/>
          </w:tcPr>
          <w:p>
            <w:r>
              <w:t>color-secondary</w:t>
            </w:r>
          </w:p>
        </w:tc>
        <w:tc>
          <w:tcPr>
            <w:tcW w:type="dxa" w:w="4320"/>
          </w:tcPr>
          <w:p>
            <w:r>
              <w:t>#3C3F41</w:t>
            </w:r>
          </w:p>
        </w:tc>
      </w:tr>
      <w:tr>
        <w:tc>
          <w:tcPr>
            <w:tcW w:type="dxa" w:w="4320"/>
          </w:tcPr>
          <w:p>
            <w:r>
              <w:t>color-accent</w:t>
            </w:r>
          </w:p>
        </w:tc>
        <w:tc>
          <w:tcPr>
            <w:tcW w:type="dxa" w:w="4320"/>
          </w:tcPr>
          <w:p>
            <w:r>
              <w:t>#E31378</w:t>
            </w:r>
          </w:p>
        </w:tc>
      </w:tr>
      <w:tr>
        <w:tc>
          <w:tcPr>
            <w:tcW w:type="dxa" w:w="4320"/>
          </w:tcPr>
          <w:p>
            <w:r>
              <w:t>color-wine</w:t>
            </w:r>
          </w:p>
        </w:tc>
        <w:tc>
          <w:tcPr>
            <w:tcW w:type="dxa" w:w="4320"/>
          </w:tcPr>
          <w:p>
            <w:r>
              <w:t>#761E61</w:t>
            </w:r>
          </w:p>
        </w:tc>
      </w:tr>
      <w:tr>
        <w:tc>
          <w:tcPr>
            <w:tcW w:type="dxa" w:w="4320"/>
          </w:tcPr>
          <w:p>
            <w:r>
              <w:t>color-brand-blue</w:t>
            </w:r>
          </w:p>
        </w:tc>
        <w:tc>
          <w:tcPr>
            <w:tcW w:type="dxa" w:w="4320"/>
          </w:tcPr>
          <w:p>
            <w:r>
              <w:t>#4E4298</w:t>
            </w:r>
          </w:p>
        </w:tc>
      </w:tr>
      <w:tr>
        <w:tc>
          <w:tcPr>
            <w:tcW w:type="dxa" w:w="4320"/>
          </w:tcPr>
          <w:p>
            <w:r>
              <w:t>color-text</w:t>
            </w:r>
          </w:p>
        </w:tc>
        <w:tc>
          <w:tcPr>
            <w:tcW w:type="dxa" w:w="4320"/>
          </w:tcPr>
          <w:p>
            <w:r>
              <w:t>#7A7A7A</w:t>
            </w:r>
          </w:p>
        </w:tc>
      </w:tr>
      <w:tr>
        <w:tc>
          <w:tcPr>
            <w:tcW w:type="dxa" w:w="4320"/>
          </w:tcPr>
          <w:p>
            <w:r>
              <w:t>radius-md</w:t>
            </w:r>
          </w:p>
        </w:tc>
        <w:tc>
          <w:tcPr>
            <w:tcW w:type="dxa" w:w="4320"/>
          </w:tcPr>
          <w:p>
            <w:r>
              <w:t>8px</w:t>
            </w:r>
          </w:p>
        </w:tc>
      </w:tr>
      <w:tr>
        <w:tc>
          <w:tcPr>
            <w:tcW w:type="dxa" w:w="4320"/>
          </w:tcPr>
          <w:p>
            <w:r>
              <w:t>radius-lg</w:t>
            </w:r>
          </w:p>
        </w:tc>
        <w:tc>
          <w:tcPr>
            <w:tcW w:type="dxa" w:w="4320"/>
          </w:tcPr>
          <w:p>
            <w:r>
              <w:t>12px</w:t>
            </w:r>
          </w:p>
        </w:tc>
      </w:tr>
      <w:tr>
        <w:tc>
          <w:tcPr>
            <w:tcW w:type="dxa" w:w="4320"/>
          </w:tcPr>
          <w:p>
            <w:r>
              <w:t>shadow-card</w:t>
            </w:r>
          </w:p>
        </w:tc>
        <w:tc>
          <w:tcPr>
            <w:tcW w:type="dxa" w:w="4320"/>
          </w:tcPr>
          <w:p>
            <w:r>
              <w:t>0 4px 12px rgba(0,0,0,.08)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