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8E04" w14:textId="77777777" w:rsidR="00307947" w:rsidRDefault="00E41002" w:rsidP="00307947">
      <w:pPr>
        <w:spacing w:afterLines="300" w:after="720" w:line="276" w:lineRule="auto"/>
        <w:jc w:val="center"/>
        <w:rPr>
          <w:lang w:val="en-US"/>
        </w:rPr>
      </w:pPr>
      <w:r>
        <w:rPr>
          <w:lang w:val="en-US"/>
        </w:rPr>
        <w:t>Title</w:t>
      </w:r>
      <w:r w:rsidR="00307947">
        <w:rPr>
          <w:lang w:val="en-US"/>
        </w:rPr>
        <w:t xml:space="preserve"> </w:t>
      </w:r>
    </w:p>
    <w:p w14:paraId="60F8176E" w14:textId="4832EC3C" w:rsidR="00307947" w:rsidRPr="00307947" w:rsidRDefault="00307947" w:rsidP="00307947">
      <w:pPr>
        <w:spacing w:afterLines="300" w:after="720" w:line="276" w:lineRule="auto"/>
        <w:jc w:val="center"/>
        <w:rPr>
          <w:rFonts w:ascii="Times New Roman" w:hAnsi="Times New Roman" w:cs="Times New Roman"/>
          <w:b/>
          <w:bCs/>
          <w:caps/>
          <w:noProof/>
          <w:lang w:val="en-US"/>
        </w:rPr>
      </w:pPr>
      <w:r w:rsidRPr="00307947">
        <w:rPr>
          <w:rFonts w:ascii="Times New Roman" w:hAnsi="Times New Roman" w:cs="Times New Roman"/>
          <w:b/>
          <w:bCs/>
          <w:caps/>
          <w:noProof/>
          <w:lang w:val="en-US"/>
        </w:rPr>
        <w:t xml:space="preserve">Systemic and mucosal immune response of Nile tilapia broodstock to monovalent and bivalent vaccines against bacteria </w:t>
      </w:r>
      <w:r w:rsidRPr="00307947">
        <w:rPr>
          <w:rFonts w:ascii="Times New Roman" w:hAnsi="Times New Roman" w:cs="Times New Roman"/>
          <w:b/>
          <w:bCs/>
          <w:i/>
          <w:iCs/>
          <w:caps/>
          <w:noProof/>
          <w:lang w:val="en-US"/>
        </w:rPr>
        <w:t>Streptococcus agalactiae</w:t>
      </w:r>
      <w:r w:rsidRPr="00307947">
        <w:rPr>
          <w:rFonts w:ascii="Times New Roman" w:hAnsi="Times New Roman" w:cs="Times New Roman"/>
          <w:b/>
          <w:bCs/>
          <w:caps/>
          <w:noProof/>
          <w:lang w:val="en-US"/>
        </w:rPr>
        <w:t xml:space="preserve"> and </w:t>
      </w:r>
      <w:r w:rsidRPr="00307947">
        <w:rPr>
          <w:rFonts w:ascii="Times New Roman" w:hAnsi="Times New Roman" w:cs="Times New Roman"/>
          <w:b/>
          <w:bCs/>
          <w:i/>
          <w:iCs/>
          <w:caps/>
          <w:noProof/>
          <w:lang w:val="en-US"/>
        </w:rPr>
        <w:t>Aeromonas veronii</w:t>
      </w:r>
      <w:r w:rsidRPr="00307947">
        <w:rPr>
          <w:rFonts w:ascii="Times New Roman" w:hAnsi="Times New Roman" w:cs="Times New Roman"/>
          <w:b/>
          <w:bCs/>
          <w:caps/>
          <w:noProof/>
          <w:lang w:val="en-US"/>
        </w:rPr>
        <w:t>.</w:t>
      </w:r>
    </w:p>
    <w:p w14:paraId="28A20666" w14:textId="28A7CB67" w:rsidR="0065109D" w:rsidRDefault="00193F91">
      <w:pPr>
        <w:rPr>
          <w:lang w:val="en-US"/>
        </w:rPr>
      </w:pPr>
    </w:p>
    <w:p w14:paraId="0BDFFCAE" w14:textId="3288C90E" w:rsidR="00E41002" w:rsidRDefault="00E41002" w:rsidP="00307947">
      <w:pPr>
        <w:jc w:val="center"/>
        <w:rPr>
          <w:lang w:val="en-US"/>
        </w:rPr>
      </w:pPr>
      <w:r>
        <w:rPr>
          <w:lang w:val="en-US"/>
        </w:rPr>
        <w:t>Abstract</w:t>
      </w:r>
    </w:p>
    <w:p w14:paraId="5063F7A3" w14:textId="500307BA" w:rsidR="00236EF6" w:rsidRDefault="00307947" w:rsidP="0030794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07947">
        <w:rPr>
          <w:rFonts w:ascii="Times New Roman" w:hAnsi="Times New Roman" w:cs="Times New Roman"/>
          <w:sz w:val="20"/>
          <w:szCs w:val="20"/>
          <w:lang w:val="en-US"/>
        </w:rPr>
        <w:t>Fighting infections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r w:rsidR="00A95924"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the bacteria </w:t>
      </w:r>
      <w:r w:rsidR="00A95924" w:rsidRPr="00307947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Streptococcus agalactiae</w:t>
      </w:r>
      <w:r w:rsidR="00A95924"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A95924" w:rsidRPr="00307947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Aeromonas veronii</w:t>
      </w:r>
      <w:r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>in Nile tilapia (</w:t>
      </w:r>
      <w:r w:rsidR="00236EF6" w:rsidRPr="00236EF6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Oreochromis niloticus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A95924"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is a hot-topic research 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 xml:space="preserve">for aquaculture. </w:t>
      </w:r>
      <w:r w:rsidR="009425DE">
        <w:rPr>
          <w:rFonts w:ascii="Times New Roman" w:hAnsi="Times New Roman" w:cs="Times New Roman"/>
          <w:sz w:val="20"/>
          <w:szCs w:val="20"/>
          <w:lang w:val="en-US"/>
        </w:rPr>
        <w:t xml:space="preserve">Both bacteria are cosmopolite and </w:t>
      </w:r>
      <w:r w:rsidR="00CA5F2B">
        <w:rPr>
          <w:rFonts w:ascii="Times New Roman" w:hAnsi="Times New Roman" w:cs="Times New Roman"/>
          <w:sz w:val="20"/>
          <w:szCs w:val="20"/>
          <w:lang w:val="en-US"/>
        </w:rPr>
        <w:t xml:space="preserve">are causing high mortality in infected ponds. Moreover, a diseased </w:t>
      </w:r>
      <w:r w:rsidR="00A45813">
        <w:rPr>
          <w:rFonts w:ascii="Times New Roman" w:hAnsi="Times New Roman" w:cs="Times New Roman"/>
          <w:sz w:val="20"/>
          <w:szCs w:val="20"/>
          <w:lang w:val="en-US"/>
        </w:rPr>
        <w:t>fish,</w:t>
      </w:r>
      <w:r w:rsidR="00CA5F2B">
        <w:rPr>
          <w:rFonts w:ascii="Times New Roman" w:hAnsi="Times New Roman" w:cs="Times New Roman"/>
          <w:sz w:val="20"/>
          <w:szCs w:val="20"/>
          <w:lang w:val="en-US"/>
        </w:rPr>
        <w:t xml:space="preserve"> if consumed raw can easily become a vector for the transmission to animals and/or humans.</w:t>
      </w:r>
      <w:r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A95924" w:rsidRPr="00307947">
        <w:rPr>
          <w:rFonts w:ascii="Times New Roman" w:hAnsi="Times New Roman" w:cs="Times New Roman"/>
          <w:sz w:val="20"/>
          <w:szCs w:val="20"/>
          <w:lang w:val="en-US"/>
        </w:rPr>
        <w:t>rophyla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>ctic measures such as fish vaccination are a specific and</w:t>
      </w:r>
      <w:r w:rsidR="00A95924" w:rsidRPr="00A95924">
        <w:rPr>
          <w:rFonts w:ascii="Times New Roman" w:hAnsi="Times New Roman" w:cs="Times New Roman"/>
          <w:sz w:val="20"/>
          <w:szCs w:val="20"/>
          <w:lang w:val="en-US"/>
        </w:rPr>
        <w:t xml:space="preserve"> very effective way of prevention from diseases.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 xml:space="preserve"> In the present study, we aim to demonstrate that immunization is possible in Tilapia. 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>By u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 xml:space="preserve">sing inactivated vaccines prepared from formalin-killed pathogens, we were able to produce two monovalent vaccines from </w:t>
      </w:r>
      <w:r w:rsidR="00A95924" w:rsidRPr="00307947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Streptococcus agalactiae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 xml:space="preserve"> and from </w:t>
      </w:r>
      <w:r w:rsidR="00A95924" w:rsidRPr="00307947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Aeromonas veronii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>, and a bivalent vaccine from the combination of the two pathogens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 xml:space="preserve"> with a ratio of 1:1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1B7B38">
        <w:rPr>
          <w:rFonts w:ascii="Times New Roman" w:hAnsi="Times New Roman" w:cs="Times New Roman"/>
          <w:sz w:val="20"/>
          <w:szCs w:val="20"/>
          <w:lang w:val="en-US"/>
        </w:rPr>
        <w:t xml:space="preserve">Four-hundred juveniles individuals were acclimated and split into 4 groups in separate aquariums (1 control and 3 treatments). 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>Then</w:t>
      </w:r>
      <w:r w:rsidR="001B7B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>8</w:t>
      </w:r>
      <w:r w:rsidR="001B7B38">
        <w:rPr>
          <w:rFonts w:ascii="Times New Roman" w:hAnsi="Times New Roman" w:cs="Times New Roman"/>
          <w:sz w:val="20"/>
          <w:szCs w:val="20"/>
          <w:lang w:val="en-US"/>
        </w:rPr>
        <w:t xml:space="preserve"> individuals per group were selected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 xml:space="preserve"> for sampling weekly</w:t>
      </w:r>
      <w:r w:rsidR="001B7B38">
        <w:rPr>
          <w:rFonts w:ascii="Times New Roman" w:hAnsi="Times New Roman" w:cs="Times New Roman"/>
          <w:sz w:val="20"/>
          <w:szCs w:val="20"/>
          <w:lang w:val="en-US"/>
        </w:rPr>
        <w:t>.  I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>mmune response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 xml:space="preserve"> both </w:t>
      </w:r>
      <w:r w:rsidR="00A95924" w:rsidRPr="00A95924">
        <w:rPr>
          <w:rFonts w:ascii="Times New Roman" w:hAnsi="Times New Roman" w:cs="Times New Roman"/>
          <w:sz w:val="20"/>
          <w:szCs w:val="20"/>
          <w:lang w:val="en-US"/>
        </w:rPr>
        <w:t xml:space="preserve">systemic and mucosal </w:t>
      </w:r>
      <w:r w:rsidR="00274297">
        <w:rPr>
          <w:rFonts w:ascii="Times New Roman" w:hAnsi="Times New Roman" w:cs="Times New Roman"/>
          <w:sz w:val="20"/>
          <w:szCs w:val="20"/>
          <w:lang w:val="en-US"/>
        </w:rPr>
        <w:t>was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 xml:space="preserve"> characterized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r w:rsidR="00274297">
        <w:rPr>
          <w:rFonts w:ascii="Times New Roman" w:hAnsi="Times New Roman" w:cs="Times New Roman"/>
          <w:sz w:val="20"/>
          <w:szCs w:val="20"/>
          <w:lang w:val="en-US"/>
        </w:rPr>
        <w:t>humoral immunity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B7B38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concentration</w:t>
      </w:r>
      <w:r w:rsidR="001B7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in</w:t>
      </w:r>
      <w:r w:rsidR="00236EF6"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 Immunoglobulins M and Immunoglobulins T</w:t>
      </w:r>
      <w:r w:rsidR="001B7B38">
        <w:rPr>
          <w:rFonts w:ascii="Times New Roman" w:hAnsi="Times New Roman" w:cs="Times New Roman"/>
          <w:sz w:val="20"/>
          <w:szCs w:val="20"/>
          <w:lang w:val="en-US"/>
        </w:rPr>
        <w:t xml:space="preserve"> as immunogenic markers</w:t>
      </w:r>
      <w:r w:rsidR="00236EF6"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="001B7B38">
        <w:rPr>
          <w:rFonts w:ascii="Times New Roman" w:hAnsi="Times New Roman" w:cs="Times New Roman"/>
          <w:sz w:val="20"/>
          <w:szCs w:val="20"/>
          <w:lang w:val="en-US"/>
        </w:rPr>
        <w:t xml:space="preserve"> the help of </w:t>
      </w:r>
      <w:r w:rsidR="00193F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6EF6" w:rsidRPr="00307947">
        <w:rPr>
          <w:rFonts w:ascii="Times New Roman" w:hAnsi="Times New Roman" w:cs="Times New Roman"/>
          <w:sz w:val="20"/>
          <w:szCs w:val="20"/>
          <w:lang w:val="en-US"/>
        </w:rPr>
        <w:t>ELISA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assays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 xml:space="preserve"> or agglutination antibody test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="00236EF6"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="00236EF6"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>RT-PCR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 xml:space="preserve"> for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IgM and IgT gene</w:t>
      </w:r>
      <w:r w:rsidR="00236EF6"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 transcription 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>activity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6EF6" w:rsidRPr="00307947">
        <w:rPr>
          <w:rFonts w:ascii="Times New Roman" w:hAnsi="Times New Roman" w:cs="Times New Roman"/>
          <w:sz w:val="20"/>
          <w:szCs w:val="20"/>
          <w:lang w:val="en-US"/>
        </w:rPr>
        <w:t>before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>, during and after</w:t>
      </w:r>
      <w:r w:rsidR="00236EF6"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 immunization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193F91">
        <w:rPr>
          <w:rFonts w:ascii="Times New Roman" w:hAnsi="Times New Roman" w:cs="Times New Roman"/>
          <w:sz w:val="20"/>
          <w:szCs w:val="20"/>
          <w:lang w:val="en-US"/>
        </w:rPr>
        <w:t>on a weekly basis</w:t>
      </w:r>
      <w:r w:rsidR="00236EF6"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274297">
        <w:rPr>
          <w:rFonts w:ascii="Times New Roman" w:hAnsi="Times New Roman" w:cs="Times New Roman"/>
          <w:sz w:val="20"/>
          <w:szCs w:val="20"/>
          <w:lang w:val="en-US"/>
        </w:rPr>
        <w:t xml:space="preserve">It is also possible to discard the effect of the innate immune response by determining expression levels of ROS genes by RT-PCR. 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Optimal protective 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 xml:space="preserve">dose and 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vaccination patterns have been </w:t>
      </w:r>
      <w:r w:rsidR="00A95924">
        <w:rPr>
          <w:rFonts w:ascii="Times New Roman" w:hAnsi="Times New Roman" w:cs="Times New Roman"/>
          <w:sz w:val="20"/>
          <w:szCs w:val="20"/>
          <w:lang w:val="en-US"/>
        </w:rPr>
        <w:t xml:space="preserve">determined 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with the help of booster doses. Finally, the fish have 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>undergone a bacterial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challenge with a single 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 xml:space="preserve">lethal 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dose of </w:t>
      </w:r>
      <w:r w:rsidRPr="00307947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Streptococcus agalactiae</w:t>
      </w:r>
      <w:r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>or</w:t>
      </w:r>
      <w:r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36EF6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Aeromonas veronii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>respectively of their vaccinations.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C1FD0">
        <w:rPr>
          <w:rFonts w:ascii="Times New Roman" w:hAnsi="Times New Roman" w:cs="Times New Roman"/>
          <w:sz w:val="20"/>
          <w:szCs w:val="20"/>
          <w:lang w:val="en-US"/>
        </w:rPr>
        <w:t>The outcomes will determine the LD50 for the different groups</w:t>
      </w:r>
      <w:r w:rsidR="00236EF6" w:rsidRPr="00236EF6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Th</w:t>
      </w:r>
      <w:r w:rsidR="00193F91">
        <w:rPr>
          <w:rFonts w:ascii="Times New Roman" w:hAnsi="Times New Roman" w:cs="Times New Roman"/>
          <w:sz w:val="20"/>
          <w:szCs w:val="20"/>
          <w:lang w:val="en-US"/>
        </w:rPr>
        <w:t>is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study </w:t>
      </w:r>
      <w:r w:rsidR="00193F91">
        <w:rPr>
          <w:rFonts w:ascii="Times New Roman" w:hAnsi="Times New Roman" w:cs="Times New Roman"/>
          <w:sz w:val="20"/>
          <w:szCs w:val="20"/>
          <w:lang w:val="en-US"/>
        </w:rPr>
        <w:t>was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motivated because of the lack of availability of vaccination in Thailand and </w:t>
      </w:r>
      <w:r w:rsidR="00194651">
        <w:rPr>
          <w:rFonts w:ascii="Times New Roman" w:hAnsi="Times New Roman" w:cs="Times New Roman"/>
          <w:sz w:val="20"/>
          <w:szCs w:val="20"/>
          <w:lang w:val="en-US"/>
        </w:rPr>
        <w:t>from the necessity to mitigate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 antibiotic resistance and reduce </w:t>
      </w:r>
      <w:r w:rsidR="00883407">
        <w:rPr>
          <w:rFonts w:ascii="Times New Roman" w:hAnsi="Times New Roman" w:cs="Times New Roman"/>
          <w:sz w:val="20"/>
          <w:szCs w:val="20"/>
          <w:lang w:val="en-US"/>
        </w:rPr>
        <w:t xml:space="preserve">global </w:t>
      </w:r>
      <w:r w:rsidR="00236EF6">
        <w:rPr>
          <w:rFonts w:ascii="Times New Roman" w:hAnsi="Times New Roman" w:cs="Times New Roman"/>
          <w:sz w:val="20"/>
          <w:szCs w:val="20"/>
          <w:lang w:val="en-US"/>
        </w:rPr>
        <w:t xml:space="preserve">antibiotic use. </w:t>
      </w:r>
    </w:p>
    <w:p w14:paraId="4495F694" w14:textId="77777777" w:rsidR="00307947" w:rsidRDefault="00307947">
      <w:pPr>
        <w:rPr>
          <w:lang w:val="en-US"/>
        </w:rPr>
      </w:pPr>
    </w:p>
    <w:p w14:paraId="50AD399D" w14:textId="2C68A401" w:rsidR="00E41002" w:rsidRDefault="00E41002">
      <w:pPr>
        <w:rPr>
          <w:lang w:val="en-US"/>
        </w:rPr>
      </w:pPr>
      <w:r>
        <w:rPr>
          <w:lang w:val="en-US"/>
        </w:rPr>
        <w:t>Introduction</w:t>
      </w:r>
    </w:p>
    <w:p w14:paraId="45688597" w14:textId="253CA67B" w:rsidR="0025221C" w:rsidRDefault="0025221C">
      <w:pPr>
        <w:rPr>
          <w:lang w:val="en-US"/>
        </w:rPr>
      </w:pPr>
      <w:r>
        <w:rPr>
          <w:lang w:val="en-US"/>
        </w:rPr>
        <w:t>Tilapia (location, popularity..)</w:t>
      </w:r>
    </w:p>
    <w:p w14:paraId="22CB71F6" w14:textId="397D64B1" w:rsidR="0025221C" w:rsidRDefault="0025221C">
      <w:pPr>
        <w:rPr>
          <w:lang w:val="en-US"/>
        </w:rPr>
      </w:pPr>
      <w:r>
        <w:rPr>
          <w:lang w:val="en-US"/>
        </w:rPr>
        <w:t>Tilapia diseases</w:t>
      </w:r>
    </w:p>
    <w:p w14:paraId="1A8CBDE2" w14:textId="29EA56ED" w:rsidR="0025221C" w:rsidRDefault="0025221C">
      <w:pPr>
        <w:rPr>
          <w:lang w:val="en-US"/>
        </w:rPr>
      </w:pPr>
      <w:r>
        <w:rPr>
          <w:lang w:val="en-US"/>
        </w:rPr>
        <w:t xml:space="preserve">Bacterial diseases </w:t>
      </w:r>
    </w:p>
    <w:p w14:paraId="69832666" w14:textId="28ADB984" w:rsidR="0025221C" w:rsidRDefault="0025221C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307947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Streptococcus agalactiae</w:t>
      </w:r>
      <w:r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Pr="00307947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Aeromonas veronii</w:t>
      </w:r>
    </w:p>
    <w:p w14:paraId="2BB2D43F" w14:textId="1E159AAA" w:rsidR="0025221C" w:rsidRDefault="0025221C">
      <w:pPr>
        <w:rPr>
          <w:lang w:val="en-US"/>
        </w:rPr>
      </w:pPr>
      <w:r>
        <w:rPr>
          <w:lang w:val="en-US"/>
        </w:rPr>
        <w:t>History of the disease, treatment, mitigation, effect on the fish. Effects. Prophylaxis.</w:t>
      </w:r>
    </w:p>
    <w:p w14:paraId="3DDB3A0F" w14:textId="1E4F242C" w:rsidR="0025221C" w:rsidRDefault="0025221C">
      <w:pPr>
        <w:rPr>
          <w:lang w:val="en-US"/>
        </w:rPr>
      </w:pPr>
    </w:p>
    <w:p w14:paraId="5D2B73D7" w14:textId="77777777" w:rsidR="0025221C" w:rsidRPr="0025221C" w:rsidRDefault="0025221C">
      <w:pPr>
        <w:rPr>
          <w:lang w:val="en-US"/>
        </w:rPr>
      </w:pPr>
    </w:p>
    <w:p w14:paraId="4227590D" w14:textId="0D063D64" w:rsidR="00E41002" w:rsidRDefault="00E41002">
      <w:pPr>
        <w:rPr>
          <w:lang w:val="en-US"/>
        </w:rPr>
      </w:pPr>
      <w:r>
        <w:rPr>
          <w:lang w:val="en-US"/>
        </w:rPr>
        <w:t>Material and methods</w:t>
      </w:r>
    </w:p>
    <w:p w14:paraId="343720C9" w14:textId="40D8538D" w:rsidR="0025221C" w:rsidRDefault="00E41002">
      <w:pPr>
        <w:rPr>
          <w:lang w:val="en-US"/>
        </w:rPr>
      </w:pPr>
      <w:r w:rsidRPr="00E41002">
        <w:rPr>
          <w:lang w:val="en-US"/>
        </w:rPr>
        <w:t xml:space="preserve">2.1. Experimental </w:t>
      </w:r>
      <w:r w:rsidR="0025221C">
        <w:rPr>
          <w:lang w:val="en-US"/>
        </w:rPr>
        <w:t>design</w:t>
      </w:r>
      <w:r w:rsidRPr="00E41002">
        <w:rPr>
          <w:lang w:val="en-US"/>
        </w:rPr>
        <w:t xml:space="preserve"> and</w:t>
      </w:r>
      <w:r w:rsidR="0025221C">
        <w:rPr>
          <w:lang w:val="en-US"/>
        </w:rPr>
        <w:t xml:space="preserve"> fish</w:t>
      </w:r>
      <w:r w:rsidRPr="00E41002">
        <w:rPr>
          <w:lang w:val="en-US"/>
        </w:rPr>
        <w:t xml:space="preserve"> husbandry</w:t>
      </w:r>
    </w:p>
    <w:p w14:paraId="460A1FE4" w14:textId="723D1064" w:rsidR="0025221C" w:rsidRDefault="0025221C">
      <w:pPr>
        <w:rPr>
          <w:lang w:val="en-US"/>
        </w:rPr>
      </w:pPr>
      <w:r>
        <w:rPr>
          <w:lang w:val="en-US"/>
        </w:rPr>
        <w:t>Number of fish, age, size, obtention, stocking, food, water parameters, fish sampling/selection</w:t>
      </w:r>
    </w:p>
    <w:p w14:paraId="2BAAB41B" w14:textId="5CF53870" w:rsidR="0025221C" w:rsidRDefault="0025221C">
      <w:pPr>
        <w:rPr>
          <w:lang w:val="en-US"/>
        </w:rPr>
      </w:pPr>
      <w:r>
        <w:rPr>
          <w:lang w:val="en-US"/>
        </w:rPr>
        <w:t>Detection of diseases in fish (select fish and verify that they have no conditions)</w:t>
      </w:r>
    </w:p>
    <w:p w14:paraId="1928BE09" w14:textId="206F27EA" w:rsidR="00E41002" w:rsidRDefault="00E41002" w:rsidP="00E41002">
      <w:pPr>
        <w:pStyle w:val="Heading2"/>
        <w:ind w:left="-5"/>
      </w:pPr>
      <w:r>
        <w:t xml:space="preserve">2.2. Preparation of bacterial culture and formalin-killed vaccines </w:t>
      </w:r>
    </w:p>
    <w:p w14:paraId="726B5AD4" w14:textId="77777777" w:rsidR="00595BB9" w:rsidRDefault="00595BB9" w:rsidP="00595BB9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>
        <w:rPr>
          <w:lang w:val="en-US" w:bidi="th-TH"/>
        </w:rPr>
        <w:t xml:space="preserve">Strains of bacteria </w:t>
      </w:r>
      <w:r w:rsidRPr="00307947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Streptococcus agalactiae</w:t>
      </w:r>
      <w:r w:rsidRPr="00307947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Pr="00307947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Aeromonas veronii</w:t>
      </w:r>
    </w:p>
    <w:p w14:paraId="635B07FC" w14:textId="3D688A44" w:rsidR="00595BB9" w:rsidRPr="00595BB9" w:rsidRDefault="00595BB9" w:rsidP="00595BB9">
      <w:pPr>
        <w:rPr>
          <w:lang w:val="en-US" w:bidi="th-TH"/>
        </w:rPr>
      </w:pPr>
      <w:r w:rsidRPr="00595BB9">
        <w:rPr>
          <w:lang w:val="en-US" w:bidi="th-TH"/>
        </w:rPr>
        <w:t>Obtention, collection, culture, amplification, harvesting, inactivation, preparation of vaccine</w:t>
      </w:r>
      <w:r>
        <w:rPr>
          <w:lang w:val="en-US" w:bidi="th-TH"/>
        </w:rPr>
        <w:t xml:space="preserve"> (formulation)</w:t>
      </w:r>
      <w:r w:rsidRPr="00595BB9">
        <w:rPr>
          <w:lang w:val="en-US" w:bidi="th-TH"/>
        </w:rPr>
        <w:t xml:space="preserve">, </w:t>
      </w:r>
      <w:r>
        <w:rPr>
          <w:lang w:val="en-US" w:bidi="th-TH"/>
        </w:rPr>
        <w:t>stockage. Quality control</w:t>
      </w:r>
    </w:p>
    <w:p w14:paraId="0F570A09" w14:textId="6E8D269F" w:rsidR="00E41002" w:rsidRDefault="00E41002">
      <w:pPr>
        <w:rPr>
          <w:rFonts w:ascii="Calibri" w:eastAsia="Calibri" w:hAnsi="Calibri" w:cs="Calibri"/>
          <w:i/>
          <w:lang w:val="en-US"/>
        </w:rPr>
      </w:pPr>
      <w:r w:rsidRPr="00595BB9">
        <w:rPr>
          <w:rFonts w:ascii="Calibri" w:eastAsia="Calibri" w:hAnsi="Calibri" w:cs="Calibri"/>
          <w:i/>
          <w:lang w:val="en-US"/>
        </w:rPr>
        <w:t>2.3. Fish immunization and sample collection</w:t>
      </w:r>
    </w:p>
    <w:p w14:paraId="380F8C63" w14:textId="42FDFC7D" w:rsidR="00595BB9" w:rsidRPr="00595BB9" w:rsidRDefault="00595BB9">
      <w:pPr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 xml:space="preserve">Protocol, </w:t>
      </w:r>
      <w:r w:rsidRPr="00595BB9">
        <w:rPr>
          <w:lang w:val="en-US"/>
        </w:rPr>
        <w:t>Animal Care and Use Committee (MUSC63-014-522</w:t>
      </w:r>
    </w:p>
    <w:p w14:paraId="0E5B46C2" w14:textId="77777777" w:rsidR="00E41002" w:rsidRDefault="00E41002" w:rsidP="00E41002">
      <w:pPr>
        <w:pStyle w:val="Heading2"/>
        <w:ind w:left="-5"/>
      </w:pPr>
      <w:r>
        <w:t xml:space="preserve">2.4. Serum antibody assays and mucus antibody analysis </w:t>
      </w:r>
    </w:p>
    <w:p w14:paraId="5500A58E" w14:textId="77777777" w:rsidR="00E41002" w:rsidRDefault="00E41002" w:rsidP="00E41002">
      <w:pPr>
        <w:pStyle w:val="Heading2"/>
        <w:ind w:left="-5"/>
      </w:pPr>
      <w:r>
        <w:t xml:space="preserve">2.5. Efficacy trial </w:t>
      </w:r>
      <w:r>
        <w:rPr>
          <w:i w:val="0"/>
        </w:rPr>
        <w:t xml:space="preserve">– </w:t>
      </w:r>
      <w:r>
        <w:t xml:space="preserve">laboratory aquarium challenge </w:t>
      </w:r>
    </w:p>
    <w:p w14:paraId="27098CF0" w14:textId="77777777" w:rsidR="00E41002" w:rsidRDefault="00E41002" w:rsidP="00E41002">
      <w:pPr>
        <w:pStyle w:val="Heading2"/>
        <w:ind w:left="-5"/>
      </w:pPr>
      <w:r>
        <w:t xml:space="preserve">2.6. Data analysis </w:t>
      </w:r>
    </w:p>
    <w:p w14:paraId="0122B415" w14:textId="77777777" w:rsidR="00E41002" w:rsidRPr="00E41002" w:rsidRDefault="00E41002" w:rsidP="00E41002">
      <w:pPr>
        <w:pStyle w:val="Heading1"/>
        <w:ind w:left="-5"/>
        <w:rPr>
          <w:lang w:val="en-US"/>
        </w:rPr>
      </w:pPr>
      <w:r w:rsidRPr="00E41002">
        <w:rPr>
          <w:lang w:val="en-US"/>
        </w:rPr>
        <w:t xml:space="preserve">3. Results </w:t>
      </w:r>
    </w:p>
    <w:p w14:paraId="2FCCA211" w14:textId="77777777" w:rsidR="00E41002" w:rsidRDefault="00E41002" w:rsidP="00E41002">
      <w:pPr>
        <w:pStyle w:val="Heading2"/>
        <w:ind w:left="-5"/>
      </w:pPr>
      <w:r>
        <w:t xml:space="preserve">3.1. Systemic antibody response in the immunized Asian seabass </w:t>
      </w:r>
    </w:p>
    <w:p w14:paraId="3ABD73EB" w14:textId="77777777" w:rsidR="00E41002" w:rsidRDefault="00E41002" w:rsidP="00E41002">
      <w:pPr>
        <w:pStyle w:val="Heading2"/>
        <w:ind w:left="-5"/>
      </w:pPr>
      <w:r>
        <w:t xml:space="preserve">3.2. Mucosal antibody response in the immunized Asian seabass </w:t>
      </w:r>
    </w:p>
    <w:p w14:paraId="613A9675" w14:textId="77777777" w:rsidR="00E41002" w:rsidRDefault="00E41002" w:rsidP="00E41002">
      <w:pPr>
        <w:pStyle w:val="Heading2"/>
        <w:ind w:left="-5"/>
      </w:pPr>
      <w:r>
        <w:t xml:space="preserve">3.3. The efficacy test in the laboratory challenge </w:t>
      </w:r>
    </w:p>
    <w:p w14:paraId="59EC5442" w14:textId="6B7447A6" w:rsidR="00E41002" w:rsidRPr="00E41002" w:rsidRDefault="00E41002" w:rsidP="00E41002">
      <w:pPr>
        <w:pStyle w:val="Heading1"/>
        <w:ind w:left="-5"/>
        <w:rPr>
          <w:lang w:val="en-US"/>
        </w:rPr>
      </w:pPr>
      <w:r w:rsidRPr="00E41002">
        <w:rPr>
          <w:lang w:val="en-US"/>
        </w:rPr>
        <w:t xml:space="preserve">4. Discussion </w:t>
      </w:r>
    </w:p>
    <w:p w14:paraId="0EB89175" w14:textId="749BA332" w:rsidR="00E41002" w:rsidRPr="00A45813" w:rsidRDefault="00E41002" w:rsidP="00E41002">
      <w:pPr>
        <w:pStyle w:val="Heading1"/>
        <w:ind w:left="-5"/>
        <w:rPr>
          <w:lang w:val="en-US"/>
        </w:rPr>
      </w:pPr>
      <w:r w:rsidRPr="00A45813">
        <w:rPr>
          <w:lang w:val="en-US"/>
        </w:rPr>
        <w:t xml:space="preserve">CRediT authorship contribution statement </w:t>
      </w:r>
    </w:p>
    <w:p w14:paraId="11D0A855" w14:textId="0CD67F67" w:rsidR="00E41002" w:rsidRPr="00A45813" w:rsidRDefault="00E41002" w:rsidP="00E41002">
      <w:pPr>
        <w:rPr>
          <w:lang w:val="en-US"/>
        </w:rPr>
      </w:pPr>
      <w:r w:rsidRPr="00A45813">
        <w:rPr>
          <w:lang w:val="en-US"/>
        </w:rPr>
        <w:t>References</w:t>
      </w:r>
    </w:p>
    <w:p w14:paraId="1298E5E7" w14:textId="77777777" w:rsidR="00E41002" w:rsidRPr="00A45813" w:rsidRDefault="00E41002" w:rsidP="00E41002">
      <w:pPr>
        <w:ind w:left="-15" w:right="32"/>
        <w:rPr>
          <w:lang w:val="en-US"/>
        </w:rPr>
      </w:pPr>
    </w:p>
    <w:p w14:paraId="1D741749" w14:textId="77777777" w:rsidR="00F02CB4" w:rsidRPr="00F02CB4" w:rsidRDefault="00F02CB4" w:rsidP="00F02CB4">
      <w:pPr>
        <w:rPr>
          <w:b/>
          <w:bCs/>
          <w:lang w:val="en-US"/>
        </w:rPr>
      </w:pPr>
      <w:r w:rsidRPr="00F02CB4">
        <w:rPr>
          <w:b/>
          <w:bCs/>
          <w:lang w:val="en-US"/>
        </w:rPr>
        <w:t>Titration and isotype determination of antibodies</w:t>
      </w:r>
    </w:p>
    <w:p w14:paraId="09AE14E1" w14:textId="77777777" w:rsidR="00F02CB4" w:rsidRPr="00F02CB4" w:rsidRDefault="00F02CB4" w:rsidP="00F02CB4">
      <w:pPr>
        <w:rPr>
          <w:lang w:val="en-US"/>
        </w:rPr>
      </w:pPr>
      <w:r w:rsidRPr="00F02CB4">
        <w:rPr>
          <w:lang w:val="en-US"/>
        </w:rPr>
        <w:t>Concentrations of immunoglobulin specific for GBS PS or TT were determined by ELISA as</w:t>
      </w:r>
    </w:p>
    <w:p w14:paraId="7663A88B" w14:textId="77777777" w:rsidR="00F02CB4" w:rsidRPr="00F02CB4" w:rsidRDefault="00F02CB4" w:rsidP="00F02CB4">
      <w:pPr>
        <w:rPr>
          <w:lang w:val="en-US"/>
        </w:rPr>
      </w:pPr>
      <w:r w:rsidRPr="00F02CB4">
        <w:rPr>
          <w:lang w:val="en-US"/>
        </w:rPr>
        <w:t>described previously [17]. Total Igs and Ig isotypes were assayed using a commercially</w:t>
      </w:r>
    </w:p>
    <w:p w14:paraId="6845CE29" w14:textId="77777777" w:rsidR="00F02CB4" w:rsidRPr="00F02CB4" w:rsidRDefault="00F02CB4" w:rsidP="00F02CB4">
      <w:pPr>
        <w:rPr>
          <w:lang w:val="en-US"/>
        </w:rPr>
      </w:pPr>
      <w:r w:rsidRPr="00F02CB4">
        <w:rPr>
          <w:lang w:val="en-US"/>
        </w:rPr>
        <w:t>available ELISA kit (Bethyl Labs, Texas, US). All titers were expressed as mean ± standard</w:t>
      </w:r>
    </w:p>
    <w:p w14:paraId="5902E9DD" w14:textId="77777777" w:rsidR="00F02CB4" w:rsidRPr="00F02CB4" w:rsidRDefault="00F02CB4" w:rsidP="00F02CB4">
      <w:pPr>
        <w:rPr>
          <w:lang w:val="en-US"/>
        </w:rPr>
      </w:pPr>
      <w:r w:rsidRPr="00F02CB4">
        <w:rPr>
          <w:lang w:val="en-US"/>
        </w:rPr>
        <w:t>error. IgG isotypes were determined using sera from day 31 after two immunizations and from</w:t>
      </w:r>
    </w:p>
    <w:p w14:paraId="6096A596" w14:textId="5FD29D7F" w:rsidR="00E41002" w:rsidRPr="00F02CB4" w:rsidRDefault="00F02CB4" w:rsidP="00F02CB4">
      <w:pPr>
        <w:rPr>
          <w:lang w:val="en-US"/>
        </w:rPr>
      </w:pPr>
      <w:r w:rsidRPr="00F02CB4">
        <w:rPr>
          <w:lang w:val="en-US"/>
        </w:rPr>
        <w:t>day 60 after three immunizations, as described in the immunization protocol.</w:t>
      </w:r>
    </w:p>
    <w:sectPr w:rsidR="00E41002" w:rsidRPr="00F0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02"/>
    <w:rsid w:val="00193F91"/>
    <w:rsid w:val="00194651"/>
    <w:rsid w:val="001B7B38"/>
    <w:rsid w:val="00236EF6"/>
    <w:rsid w:val="0025221C"/>
    <w:rsid w:val="00274297"/>
    <w:rsid w:val="002C6A9B"/>
    <w:rsid w:val="00307947"/>
    <w:rsid w:val="00314156"/>
    <w:rsid w:val="004D1FEE"/>
    <w:rsid w:val="00595BB9"/>
    <w:rsid w:val="005C1FD0"/>
    <w:rsid w:val="005D190C"/>
    <w:rsid w:val="00777B94"/>
    <w:rsid w:val="00883407"/>
    <w:rsid w:val="009425DE"/>
    <w:rsid w:val="00A45813"/>
    <w:rsid w:val="00A95924"/>
    <w:rsid w:val="00B86EF8"/>
    <w:rsid w:val="00BC5022"/>
    <w:rsid w:val="00C36BEC"/>
    <w:rsid w:val="00CA5F2B"/>
    <w:rsid w:val="00E41002"/>
    <w:rsid w:val="00EB6464"/>
    <w:rsid w:val="00F02CB4"/>
    <w:rsid w:val="00F3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456F"/>
  <w15:chartTrackingRefBased/>
  <w15:docId w15:val="{A89D444E-5D4C-4508-92D8-89BB77BE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41002"/>
    <w:pPr>
      <w:keepNext/>
      <w:keepLines/>
      <w:spacing w:after="209"/>
      <w:ind w:left="10" w:hanging="10"/>
      <w:outlineLvl w:val="1"/>
    </w:pPr>
    <w:rPr>
      <w:rFonts w:ascii="Calibri" w:eastAsia="Calibri" w:hAnsi="Calibri" w:cs="Calibri"/>
      <w:i/>
      <w:color w:val="000000"/>
      <w:sz w:val="16"/>
      <w:szCs w:val="28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0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1002"/>
    <w:rPr>
      <w:rFonts w:ascii="Calibri" w:eastAsia="Calibri" w:hAnsi="Calibri" w:cs="Calibri"/>
      <w:i/>
      <w:color w:val="000000"/>
      <w:sz w:val="16"/>
      <w:szCs w:val="28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E410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0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ANDRES</dc:creator>
  <cp:keywords/>
  <dc:description/>
  <cp:lastModifiedBy>QUENTIN ANDRES</cp:lastModifiedBy>
  <cp:revision>14</cp:revision>
  <dcterms:created xsi:type="dcterms:W3CDTF">2021-08-21T10:57:00Z</dcterms:created>
  <dcterms:modified xsi:type="dcterms:W3CDTF">2021-08-27T09:37:00Z</dcterms:modified>
</cp:coreProperties>
</file>