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24DD" w14:textId="7EEB577E" w:rsidR="0065109D" w:rsidRDefault="008D1901" w:rsidP="008D1901">
      <w:pPr>
        <w:pStyle w:val="Heading1"/>
        <w:rPr>
          <w:lang w:val="en-US"/>
        </w:rPr>
      </w:pPr>
      <w:r>
        <w:rPr>
          <w:lang w:val="en-US"/>
        </w:rPr>
        <w:t>Vocabulary</w:t>
      </w:r>
    </w:p>
    <w:p w14:paraId="25887483" w14:textId="7EEA9A2E" w:rsidR="008D1901" w:rsidRDefault="008D1901">
      <w:pPr>
        <w:rPr>
          <w:lang w:val="en-US"/>
        </w:rPr>
      </w:pPr>
    </w:p>
    <w:p w14:paraId="0929D9B0" w14:textId="43556255" w:rsidR="008D1901" w:rsidRPr="0033381B" w:rsidRDefault="008D1901">
      <w:pPr>
        <w:rPr>
          <w:lang w:val="en-US"/>
        </w:rPr>
      </w:pPr>
      <w:r w:rsidRPr="0033381B">
        <w:rPr>
          <w:lang w:val="en-US"/>
        </w:rPr>
        <w:t>For the foreseeable future</w:t>
      </w:r>
    </w:p>
    <w:p w14:paraId="3DAA35AA" w14:textId="45D98BFB" w:rsidR="007F05A9" w:rsidRPr="0033381B" w:rsidRDefault="007F05A9">
      <w:pPr>
        <w:rPr>
          <w:lang w:val="en-US"/>
        </w:rPr>
      </w:pPr>
    </w:p>
    <w:p w14:paraId="20B51CD0" w14:textId="77777777" w:rsidR="007F05A9" w:rsidRPr="007F05A9" w:rsidRDefault="007F05A9" w:rsidP="007F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7F05A9">
        <w:rPr>
          <w:rFonts w:ascii="Times New Roman" w:eastAsia="Times New Roman" w:hAnsi="Symbol" w:cs="Times New Roman"/>
          <w:sz w:val="24"/>
          <w:szCs w:val="24"/>
          <w:lang w:val="en-US" w:bidi="th-TH"/>
        </w:rPr>
        <w:t></w:t>
      </w:r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  As it is likely that SRID will remain the primary potency assay for inactivated influenza vaccines for the foreseeable future, efforts should be made to improve the assay, including: </w:t>
      </w:r>
    </w:p>
    <w:p w14:paraId="5F1F1E85" w14:textId="77777777" w:rsidR="007F05A9" w:rsidRPr="007F05A9" w:rsidRDefault="007F05A9" w:rsidP="007F0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proofErr w:type="spellStart"/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>Harmonisation</w:t>
      </w:r>
      <w:proofErr w:type="spellEnd"/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 of assay method and reagent availability.</w:t>
      </w:r>
    </w:p>
    <w:p w14:paraId="47E2AEAE" w14:textId="77777777" w:rsidR="007F05A9" w:rsidRPr="007F05A9" w:rsidRDefault="007F05A9" w:rsidP="007F0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>Improvement of the reagent calibration process.</w:t>
      </w:r>
    </w:p>
    <w:p w14:paraId="5E54254C" w14:textId="77777777" w:rsidR="007F05A9" w:rsidRPr="007F05A9" w:rsidRDefault="007F05A9" w:rsidP="007F0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7F05A9">
        <w:rPr>
          <w:rFonts w:ascii="Times New Roman" w:eastAsia="Times New Roman" w:hAnsi="Symbol" w:cs="Times New Roman"/>
          <w:sz w:val="24"/>
          <w:szCs w:val="24"/>
          <w:lang w:val="en-US" w:bidi="th-TH"/>
        </w:rPr>
        <w:t></w:t>
      </w:r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  2</w:t>
      </w:r>
    </w:p>
    <w:p w14:paraId="5D27B783" w14:textId="77777777" w:rsidR="007F05A9" w:rsidRPr="007F05A9" w:rsidRDefault="007F05A9" w:rsidP="007F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To address some of the limitations of the SRID assay, alternative methods to determine vaccine potency should be developed and evaluated: </w:t>
      </w:r>
    </w:p>
    <w:p w14:paraId="57B813CD" w14:textId="77777777" w:rsidR="007F05A9" w:rsidRPr="007F05A9" w:rsidRDefault="007F05A9" w:rsidP="007F0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New assays should be low cost, not </w:t>
      </w:r>
      <w:proofErr w:type="spellStart"/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>labour‐intensive</w:t>
      </w:r>
      <w:proofErr w:type="spellEnd"/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>, high throughput, high specificity, stability‐indicating, indicative of antigenic structure and vaccine effectiveness. Most of these are features of the SRID assay.</w:t>
      </w:r>
    </w:p>
    <w:p w14:paraId="4BDC78F0" w14:textId="77777777" w:rsidR="007F05A9" w:rsidRPr="007F05A9" w:rsidRDefault="007F05A9" w:rsidP="007F0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>Development should include application of assays for newer vaccines, for example cell culture‐derived vaccines; recombinant vaccines; adjuvanted vaccines; virus‐like particles.</w:t>
      </w:r>
    </w:p>
    <w:p w14:paraId="64186461" w14:textId="77777777" w:rsidR="007F05A9" w:rsidRPr="007F05A9" w:rsidRDefault="007F05A9" w:rsidP="007F0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7F05A9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>Validation of new assays could include bridging studies to SRID assays, animal studies and clinical trials.</w:t>
      </w:r>
    </w:p>
    <w:p w14:paraId="1092E731" w14:textId="77777777" w:rsidR="0033381B" w:rsidRPr="0033381B" w:rsidRDefault="0033381B" w:rsidP="00333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 w:rsidRPr="0033381B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The results are quantitative and will be obtained from the lecture of the 96-well plate by a spectrophotometer at an optic density of DO = 450 units. </w:t>
      </w:r>
    </w:p>
    <w:p w14:paraId="6EBC0BC7" w14:textId="77777777" w:rsidR="0033381B" w:rsidRPr="0033381B" w:rsidRDefault="0033381B" w:rsidP="00333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 w:rsidRPr="0033381B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The spectrometer calculates the value of the optic density based on Beer lambert law. </w:t>
      </w:r>
    </w:p>
    <w:p w14:paraId="3F1CCE59" w14:textId="267D12D2" w:rsidR="0033381B" w:rsidRDefault="0033381B" w:rsidP="00333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 xml:space="preserve">The systemic and mucosal antibody titers in the respective serum and mucus of Asian seabass were determined by ELISA. Flat-bottom microplate wells (Costar®, Corning Inc., USA) were coated with 100 </w:t>
      </w:r>
      <w:proofErr w:type="spellStart"/>
      <w:r w:rsidRPr="0033381B">
        <w:rPr>
          <w:rFonts w:ascii="Times New Roman" w:hAnsi="Times New Roman" w:cs="Times New Roman" w:hint="eastAsia"/>
          <w:color w:val="FF0000"/>
          <w:sz w:val="24"/>
          <w:szCs w:val="24"/>
        </w:rPr>
        <w:t>μ</w:t>
      </w:r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L</w:t>
      </w:r>
      <w:proofErr w:type="spellEnd"/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 xml:space="preserve">/well of S. </w:t>
      </w:r>
      <w:proofErr w:type="spellStart"/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iniae</w:t>
      </w:r>
      <w:proofErr w:type="spellEnd"/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 xml:space="preserve"> and S. agalactiae whole-cell antigen (e</w:t>
      </w:r>
      <w:r w:rsidRPr="0033381B">
        <w:rPr>
          <w:rFonts w:ascii="Times New Roman" w:hAnsi="Times New Roman" w:cs="Times New Roman"/>
          <w:color w:val="FF0000"/>
          <w:sz w:val="24"/>
          <w:szCs w:val="24"/>
          <w:lang w:val="en-US"/>
        </w:rPr>
        <w:t>quivalent to ~108 CFU/ mL) in carbonate coating buffer at pH 9.6, and incubated overnight at 4 ◦C. The wells were washed three times with 1× PBS, containing 0.05% Tween-20 (</w:t>
      </w:r>
      <w:proofErr w:type="spellStart"/>
      <w:r w:rsidRPr="0033381B">
        <w:rPr>
          <w:rFonts w:ascii="Times New Roman" w:hAnsi="Times New Roman" w:cs="Times New Roman"/>
          <w:color w:val="FF0000"/>
          <w:sz w:val="24"/>
          <w:szCs w:val="24"/>
          <w:lang w:val="en-US"/>
        </w:rPr>
        <w:t>Amresco</w:t>
      </w:r>
      <w:proofErr w:type="spellEnd"/>
      <w:r w:rsidRPr="003338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USA) (PBST). To evaluate appropriate dilution for ELISA assay, serum or mucus samples were pooled from three fish for each time course, and 2-fold serially diluted solutions were used. The suitable dilutions for ELISA analysis for serum and mucus were found to be 1:256 and 1:8, respectively. The serum and mucus samples from the remaining three fish of each time point were then individually diluted accordingly in PBST containing 0.2% skimmed milk (PBSTM) and incubated with the bacteria coated plates for 1 h at room temperature. After washing three times with PBST, anti-Asian seabass IgM secondary antibody [27] diluted with PBSTM (1: 50) was added and incubated for 1 h, followed by washing with PBST and adding commercial goat anti-mouse antibody horseradish peroxidase (HRP) conjugate (Thermo Fisher Scientific, USA) diluted in PBSTM </w:t>
      </w:r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(1: 3000) into each well for 1 h. After washing, 3, 3</w:t>
      </w:r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′</w:t>
      </w:r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, 5, 5</w:t>
      </w:r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′</w:t>
      </w:r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-</w:t>
      </w:r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lastRenderedPageBreak/>
        <w:t xml:space="preserve">tetramethylbenzidine (TMB) substrate (EMD Millipore Corp, USA) was added, and the wells incubated for 15 min with gentle shaking. The reaction was then stopped by adding 100 </w:t>
      </w:r>
      <w:proofErr w:type="spellStart"/>
      <w:r w:rsidRPr="0033381B">
        <w:rPr>
          <w:rFonts w:ascii="Times New Roman" w:hAnsi="Times New Roman" w:cs="Times New Roman" w:hint="eastAsia"/>
          <w:color w:val="FF0000"/>
          <w:sz w:val="24"/>
          <w:szCs w:val="24"/>
        </w:rPr>
        <w:t>μ</w:t>
      </w:r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L</w:t>
      </w:r>
      <w:proofErr w:type="spellEnd"/>
      <w:r w:rsidRPr="0033381B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 xml:space="preserve"> of 2 M H2SO4 into</w:t>
      </w:r>
      <w:r w:rsidRPr="003338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each well. A microplate reader was used to measure the absorbance at 450 nm [26].</w:t>
      </w:r>
    </w:p>
    <w:p w14:paraId="2747B82A" w14:textId="77777777" w:rsidR="008316DE" w:rsidRPr="0033381B" w:rsidRDefault="008316DE" w:rsidP="00333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6A7E00D" w14:textId="62C32201" w:rsidR="008316DE" w:rsidRDefault="008316DE" w:rsidP="00831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16DE">
        <w:rPr>
          <w:rFonts w:ascii="Times New Roman" w:hAnsi="Times New Roman" w:cs="Times New Roman"/>
          <w:sz w:val="24"/>
          <w:szCs w:val="24"/>
          <w:lang w:val="en-US"/>
        </w:rPr>
        <w:t xml:space="preserve">Figure 2 Population snapshot of S. agalactiae constructed in </w:t>
      </w:r>
      <w:proofErr w:type="spellStart"/>
      <w:r w:rsidRPr="008316DE">
        <w:rPr>
          <w:rFonts w:ascii="Times New Roman" w:hAnsi="Times New Roman" w:cs="Times New Roman"/>
          <w:sz w:val="24"/>
          <w:szCs w:val="24"/>
          <w:lang w:val="en-US"/>
        </w:rPr>
        <w:t>eBURST</w:t>
      </w:r>
      <w:proofErr w:type="spellEnd"/>
      <w:r w:rsidRPr="008316DE">
        <w:rPr>
          <w:rFonts w:ascii="Times New Roman" w:hAnsi="Times New Roman" w:cs="Times New Roman"/>
          <w:sz w:val="24"/>
          <w:szCs w:val="24"/>
          <w:lang w:val="en-US"/>
        </w:rPr>
        <w:t xml:space="preserve">. In addition to the 9 </w:t>
      </w:r>
      <w:proofErr w:type="spellStart"/>
      <w:r w:rsidRPr="008316DE">
        <w:rPr>
          <w:rFonts w:ascii="Times New Roman" w:hAnsi="Times New Roman" w:cs="Times New Roman"/>
          <w:sz w:val="24"/>
          <w:szCs w:val="24"/>
          <w:lang w:val="en-US"/>
        </w:rPr>
        <w:t>eBURST</w:t>
      </w:r>
      <w:proofErr w:type="spellEnd"/>
      <w:r w:rsidRPr="008316DE">
        <w:rPr>
          <w:rFonts w:ascii="Times New Roman" w:hAnsi="Times New Roman" w:cs="Times New Roman"/>
          <w:sz w:val="24"/>
          <w:szCs w:val="24"/>
          <w:lang w:val="en-US"/>
        </w:rPr>
        <w:t xml:space="preserve"> groups that are shown, 36 singletons were present in the database (last accessed 7 November 2012). Founders of major clonal complexes (ST1, ST17, ST19, all of which form part of </w:t>
      </w:r>
      <w:proofErr w:type="spellStart"/>
      <w:r w:rsidRPr="008316DE">
        <w:rPr>
          <w:rFonts w:ascii="Times New Roman" w:hAnsi="Times New Roman" w:cs="Times New Roman"/>
          <w:sz w:val="24"/>
          <w:szCs w:val="24"/>
          <w:lang w:val="en-US"/>
        </w:rPr>
        <w:t>eBURST</w:t>
      </w:r>
      <w:proofErr w:type="spellEnd"/>
      <w:r w:rsidRPr="008316DE">
        <w:rPr>
          <w:rFonts w:ascii="Times New Roman" w:hAnsi="Times New Roman" w:cs="Times New Roman"/>
          <w:sz w:val="24"/>
          <w:szCs w:val="24"/>
          <w:lang w:val="en-US"/>
        </w:rPr>
        <w:t xml:space="preserve"> group 1, and ST23, which is the founder of </w:t>
      </w:r>
      <w:proofErr w:type="spellStart"/>
      <w:r w:rsidRPr="008316DE">
        <w:rPr>
          <w:rFonts w:ascii="Times New Roman" w:hAnsi="Times New Roman" w:cs="Times New Roman"/>
          <w:sz w:val="24"/>
          <w:szCs w:val="24"/>
          <w:lang w:val="en-US"/>
        </w:rPr>
        <w:t>eBURST</w:t>
      </w:r>
      <w:proofErr w:type="spellEnd"/>
      <w:r w:rsidRPr="008316DE">
        <w:rPr>
          <w:rFonts w:ascii="Times New Roman" w:hAnsi="Times New Roman" w:cs="Times New Roman"/>
          <w:sz w:val="24"/>
          <w:szCs w:val="24"/>
          <w:lang w:val="en-US"/>
        </w:rPr>
        <w:t xml:space="preserve"> group 2) and sequence types (ST) identified in the current study are labelled. Italics indicate STs isolated from fish, bold italics indicate the ST from fish and a frog, and shaded labels indicate STs from sea mammals. All</w:t>
      </w:r>
      <w:r w:rsidRPr="008316DE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spellStart"/>
      <w:r w:rsidRPr="008316DE">
        <w:rPr>
          <w:rFonts w:ascii="Times New Roman" w:hAnsi="Times New Roman" w:cs="Times New Roman" w:hint="eastAsia"/>
          <w:sz w:val="24"/>
          <w:szCs w:val="24"/>
          <w:lang w:val="en-US"/>
        </w:rPr>
        <w:t>haemolytic</w:t>
      </w:r>
      <w:proofErr w:type="spellEnd"/>
      <w:r w:rsidRPr="008316D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S. agalactiae isolates from fish belonged to a single branch of </w:t>
      </w:r>
      <w:proofErr w:type="spellStart"/>
      <w:r w:rsidRPr="008316DE">
        <w:rPr>
          <w:rFonts w:ascii="Times New Roman" w:hAnsi="Times New Roman" w:cs="Times New Roman" w:hint="eastAsia"/>
          <w:sz w:val="24"/>
          <w:szCs w:val="24"/>
          <w:lang w:val="en-US"/>
        </w:rPr>
        <w:t>eBURST</w:t>
      </w:r>
      <w:proofErr w:type="spellEnd"/>
      <w:r w:rsidRPr="008316D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group 1, all seal isolates (n=6) belonged to </w:t>
      </w:r>
      <w:proofErr w:type="spellStart"/>
      <w:r w:rsidRPr="008316DE">
        <w:rPr>
          <w:rFonts w:ascii="Times New Roman" w:hAnsi="Times New Roman" w:cs="Times New Roman" w:hint="eastAsia"/>
          <w:sz w:val="24"/>
          <w:szCs w:val="24"/>
          <w:lang w:val="en-US"/>
        </w:rPr>
        <w:t>eBURST</w:t>
      </w:r>
      <w:proofErr w:type="spellEnd"/>
      <w:r w:rsidRPr="008316D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group </w:t>
      </w:r>
      <w:proofErr w:type="gramStart"/>
      <w:r w:rsidRPr="008316DE"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proofErr w:type="gramEnd"/>
      <w:r w:rsidRPr="008316DE">
        <w:rPr>
          <w:rFonts w:ascii="Times New Roman" w:hAnsi="Times New Roman" w:cs="Times New Roman"/>
          <w:sz w:val="24"/>
          <w:szCs w:val="24"/>
          <w:lang w:val="en-US"/>
        </w:rPr>
        <w:t xml:space="preserve"> and all non-</w:t>
      </w:r>
      <w:proofErr w:type="spellStart"/>
      <w:r w:rsidRPr="008316DE">
        <w:rPr>
          <w:rFonts w:ascii="Times New Roman" w:hAnsi="Times New Roman" w:cs="Times New Roman"/>
          <w:sz w:val="24"/>
          <w:szCs w:val="24"/>
          <w:lang w:val="en-US"/>
        </w:rPr>
        <w:t>haemolytic</w:t>
      </w:r>
      <w:proofErr w:type="spellEnd"/>
      <w:r w:rsidRPr="008316DE">
        <w:rPr>
          <w:rFonts w:ascii="Times New Roman" w:hAnsi="Times New Roman" w:cs="Times New Roman"/>
          <w:sz w:val="24"/>
          <w:szCs w:val="24"/>
          <w:lang w:val="en-US"/>
        </w:rPr>
        <w:t xml:space="preserve"> isolates belonged to two small </w:t>
      </w:r>
      <w:proofErr w:type="spellStart"/>
      <w:r w:rsidRPr="008316DE">
        <w:rPr>
          <w:rFonts w:ascii="Times New Roman" w:hAnsi="Times New Roman" w:cs="Times New Roman"/>
          <w:sz w:val="24"/>
          <w:szCs w:val="24"/>
          <w:lang w:val="en-US"/>
        </w:rPr>
        <w:t>eBURST</w:t>
      </w:r>
      <w:proofErr w:type="spellEnd"/>
      <w:r w:rsidRPr="008316DE">
        <w:rPr>
          <w:rFonts w:ascii="Times New Roman" w:hAnsi="Times New Roman" w:cs="Times New Roman"/>
          <w:sz w:val="24"/>
          <w:szCs w:val="24"/>
          <w:lang w:val="en-US"/>
        </w:rPr>
        <w:t xml:space="preserve"> groups that included ST260 and ST261.</w:t>
      </w:r>
    </w:p>
    <w:p w14:paraId="72FC728D" w14:textId="77777777" w:rsidR="00AA5A9B" w:rsidRPr="00AA5A9B" w:rsidRDefault="00AA5A9B" w:rsidP="00AA5A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E41B3" w14:textId="77777777" w:rsidR="00AA5A9B" w:rsidRPr="00AA5A9B" w:rsidRDefault="00AA5A9B" w:rsidP="00AA5A9B">
      <w:pPr>
        <w:rPr>
          <w:lang w:val="en-US"/>
        </w:rPr>
      </w:pPr>
      <w:r w:rsidRPr="00AA5A9B">
        <w:rPr>
          <w:lang w:val="en-US"/>
        </w:rPr>
        <w:t>\</w:t>
      </w:r>
      <w:proofErr w:type="gramStart"/>
      <w:r w:rsidRPr="00AA5A9B">
        <w:rPr>
          <w:lang w:val="en-US"/>
        </w:rPr>
        <w:t>ac</w:t>
      </w:r>
      <w:proofErr w:type="gramEnd"/>
      <w:r w:rsidRPr="00AA5A9B">
        <w:rPr>
          <w:lang w:val="en-US"/>
        </w:rPr>
        <w:t>{</w:t>
      </w:r>
      <w:proofErr w:type="spellStart"/>
      <w:r w:rsidRPr="00AA5A9B">
        <w:rPr>
          <w:lang w:val="en-US"/>
        </w:rPr>
        <w:t>fkv</w:t>
      </w:r>
      <w:proofErr w:type="spellEnd"/>
      <w:r w:rsidRPr="00AA5A9B">
        <w:rPr>
          <w:lang w:val="en-US"/>
        </w:rPr>
        <w:t>}, \ac{</w:t>
      </w:r>
      <w:proofErr w:type="spellStart"/>
      <w:r w:rsidRPr="00AA5A9B">
        <w:rPr>
          <w:lang w:val="en-US"/>
        </w:rPr>
        <w:t>gbs</w:t>
      </w:r>
      <w:proofErr w:type="spellEnd"/>
      <w:r w:rsidRPr="00AA5A9B">
        <w:rPr>
          <w:lang w:val="en-US"/>
        </w:rPr>
        <w:t>},</w:t>
      </w:r>
    </w:p>
    <w:p w14:paraId="153B362A" w14:textId="77777777" w:rsidR="00AA5A9B" w:rsidRPr="00AA5A9B" w:rsidRDefault="00AA5A9B" w:rsidP="00AA5A9B">
      <w:pPr>
        <w:rPr>
          <w:lang w:val="en-US"/>
        </w:rPr>
      </w:pPr>
    </w:p>
    <w:p w14:paraId="1B999D56" w14:textId="77777777" w:rsidR="00AA5A9B" w:rsidRPr="00AA5A9B" w:rsidRDefault="00AA5A9B" w:rsidP="00AA5A9B">
      <w:pPr>
        <w:rPr>
          <w:lang w:val="en-US"/>
        </w:rPr>
      </w:pPr>
      <w:r w:rsidRPr="00AA5A9B">
        <w:rPr>
          <w:lang w:val="en-US"/>
        </w:rPr>
        <w:t>\</w:t>
      </w:r>
      <w:proofErr w:type="gramStart"/>
      <w:r w:rsidRPr="00AA5A9B">
        <w:rPr>
          <w:lang w:val="en-US"/>
        </w:rPr>
        <w:t>ac</w:t>
      </w:r>
      <w:proofErr w:type="gramEnd"/>
      <w:r w:rsidRPr="00AA5A9B">
        <w:rPr>
          <w:lang w:val="en-US"/>
        </w:rPr>
        <w:t>{</w:t>
      </w:r>
      <w:proofErr w:type="spellStart"/>
      <w:r w:rsidRPr="00AA5A9B">
        <w:rPr>
          <w:lang w:val="en-US"/>
        </w:rPr>
        <w:t>gp</w:t>
      </w:r>
      <w:proofErr w:type="spellEnd"/>
      <w:r w:rsidRPr="00AA5A9B">
        <w:rPr>
          <w:lang w:val="en-US"/>
        </w:rPr>
        <w:t>}, \ac{s.},</w:t>
      </w:r>
    </w:p>
    <w:p w14:paraId="6F35A8EE" w14:textId="77777777" w:rsidR="00AA5A9B" w:rsidRPr="00AA5A9B" w:rsidRDefault="00AA5A9B" w:rsidP="00AA5A9B">
      <w:pPr>
        <w:rPr>
          <w:lang w:val="en-US"/>
        </w:rPr>
      </w:pPr>
    </w:p>
    <w:p w14:paraId="789EB79B" w14:textId="77777777" w:rsidR="00AA5A9B" w:rsidRPr="00AA5A9B" w:rsidRDefault="00AA5A9B" w:rsidP="00AA5A9B">
      <w:pPr>
        <w:rPr>
          <w:lang w:val="en-US"/>
        </w:rPr>
      </w:pPr>
      <w:r w:rsidRPr="00AA5A9B">
        <w:rPr>
          <w:lang w:val="en-US"/>
        </w:rPr>
        <w:t>\</w:t>
      </w:r>
      <w:proofErr w:type="gramStart"/>
      <w:r w:rsidRPr="00AA5A9B">
        <w:rPr>
          <w:lang w:val="en-US"/>
        </w:rPr>
        <w:t>ac</w:t>
      </w:r>
      <w:proofErr w:type="gramEnd"/>
      <w:r w:rsidRPr="00AA5A9B">
        <w:rPr>
          <w:lang w:val="en-US"/>
        </w:rPr>
        <w:t>{mic}, \ac{(v/v)},</w:t>
      </w:r>
    </w:p>
    <w:p w14:paraId="7BF6ACF7" w14:textId="77777777" w:rsidR="00AA5A9B" w:rsidRPr="00AA5A9B" w:rsidRDefault="00AA5A9B" w:rsidP="00AA5A9B">
      <w:pPr>
        <w:rPr>
          <w:lang w:val="en-US"/>
        </w:rPr>
      </w:pPr>
    </w:p>
    <w:p w14:paraId="41568314" w14:textId="77777777" w:rsidR="00AA5A9B" w:rsidRPr="00AA5A9B" w:rsidRDefault="00AA5A9B" w:rsidP="00AA5A9B">
      <w:pPr>
        <w:rPr>
          <w:lang w:val="en-US"/>
        </w:rPr>
      </w:pPr>
      <w:r w:rsidRPr="00AA5A9B">
        <w:rPr>
          <w:lang w:val="en-US"/>
        </w:rPr>
        <w:t>\</w:t>
      </w:r>
      <w:proofErr w:type="gramStart"/>
      <w:r w:rsidRPr="00AA5A9B">
        <w:rPr>
          <w:lang w:val="en-US"/>
        </w:rPr>
        <w:t>ac</w:t>
      </w:r>
      <w:proofErr w:type="gramEnd"/>
      <w:r w:rsidRPr="00AA5A9B">
        <w:rPr>
          <w:lang w:val="en-US"/>
        </w:rPr>
        <w:t>{</w:t>
      </w:r>
      <w:proofErr w:type="spellStart"/>
      <w:r w:rsidRPr="00AA5A9B">
        <w:rPr>
          <w:lang w:val="en-US"/>
        </w:rPr>
        <w:t>tsb</w:t>
      </w:r>
      <w:proofErr w:type="spellEnd"/>
      <w:r w:rsidRPr="00AA5A9B">
        <w:rPr>
          <w:lang w:val="en-US"/>
        </w:rPr>
        <w:t>}, \ac{</w:t>
      </w:r>
      <w:proofErr w:type="spellStart"/>
      <w:r w:rsidRPr="00AA5A9B">
        <w:rPr>
          <w:lang w:val="en-US"/>
        </w:rPr>
        <w:t>hkv</w:t>
      </w:r>
      <w:proofErr w:type="spellEnd"/>
      <w:r w:rsidRPr="00AA5A9B">
        <w:rPr>
          <w:lang w:val="en-US"/>
        </w:rPr>
        <w:t>},</w:t>
      </w:r>
    </w:p>
    <w:p w14:paraId="2EEF8024" w14:textId="77777777" w:rsidR="00AA5A9B" w:rsidRPr="00AA5A9B" w:rsidRDefault="00AA5A9B" w:rsidP="00AA5A9B">
      <w:pPr>
        <w:rPr>
          <w:lang w:val="en-US"/>
        </w:rPr>
      </w:pPr>
    </w:p>
    <w:p w14:paraId="3513B1CE" w14:textId="77777777" w:rsidR="00AA5A9B" w:rsidRPr="00AA5A9B" w:rsidRDefault="00AA5A9B" w:rsidP="00AA5A9B">
      <w:pPr>
        <w:rPr>
          <w:lang w:val="en-US"/>
        </w:rPr>
      </w:pPr>
      <w:r w:rsidRPr="00AA5A9B">
        <w:rPr>
          <w:lang w:val="en-US"/>
        </w:rPr>
        <w:t>\</w:t>
      </w:r>
      <w:proofErr w:type="gramStart"/>
      <w:r w:rsidRPr="00AA5A9B">
        <w:rPr>
          <w:lang w:val="en-US"/>
        </w:rPr>
        <w:t>ac</w:t>
      </w:r>
      <w:proofErr w:type="gramEnd"/>
      <w:r w:rsidRPr="00AA5A9B">
        <w:rPr>
          <w:lang w:val="en-US"/>
        </w:rPr>
        <w:t>{</w:t>
      </w:r>
      <w:proofErr w:type="spellStart"/>
      <w:r w:rsidRPr="00AA5A9B">
        <w:rPr>
          <w:lang w:val="en-US"/>
        </w:rPr>
        <w:t>bhi</w:t>
      </w:r>
      <w:proofErr w:type="spellEnd"/>
      <w:r w:rsidRPr="00AA5A9B">
        <w:rPr>
          <w:lang w:val="en-US"/>
        </w:rPr>
        <w:t>}, \ac{</w:t>
      </w:r>
      <w:proofErr w:type="spellStart"/>
      <w:r w:rsidRPr="00AA5A9B">
        <w:rPr>
          <w:lang w:val="en-US"/>
        </w:rPr>
        <w:t>cfu</w:t>
      </w:r>
      <w:proofErr w:type="spellEnd"/>
      <w:r w:rsidRPr="00AA5A9B">
        <w:rPr>
          <w:lang w:val="en-US"/>
        </w:rPr>
        <w:t>},</w:t>
      </w:r>
    </w:p>
    <w:p w14:paraId="4F9905AD" w14:textId="77777777" w:rsidR="00AA5A9B" w:rsidRPr="00AA5A9B" w:rsidRDefault="00AA5A9B" w:rsidP="00AA5A9B">
      <w:pPr>
        <w:rPr>
          <w:lang w:val="en-US"/>
        </w:rPr>
      </w:pPr>
    </w:p>
    <w:p w14:paraId="3C7B8F85" w14:textId="77777777" w:rsidR="00AA5A9B" w:rsidRPr="00AA5A9B" w:rsidRDefault="00AA5A9B" w:rsidP="00AA5A9B">
      <w:pPr>
        <w:rPr>
          <w:lang w:val="en-US"/>
        </w:rPr>
      </w:pPr>
      <w:r w:rsidRPr="00AA5A9B">
        <w:rPr>
          <w:lang w:val="en-US"/>
        </w:rPr>
        <w:t>\</w:t>
      </w:r>
      <w:proofErr w:type="gramStart"/>
      <w:r w:rsidRPr="00AA5A9B">
        <w:rPr>
          <w:lang w:val="en-US"/>
        </w:rPr>
        <w:t>ac</w:t>
      </w:r>
      <w:proofErr w:type="gramEnd"/>
      <w:r w:rsidRPr="00AA5A9B">
        <w:rPr>
          <w:lang w:val="en-US"/>
        </w:rPr>
        <w:t>{mic}, \ac{(v/v)},</w:t>
      </w:r>
    </w:p>
    <w:p w14:paraId="6B3DBAB4" w14:textId="77777777" w:rsidR="00AA5A9B" w:rsidRPr="00AA5A9B" w:rsidRDefault="00AA5A9B" w:rsidP="00AA5A9B">
      <w:pPr>
        <w:rPr>
          <w:lang w:val="en-US"/>
        </w:rPr>
      </w:pPr>
    </w:p>
    <w:p w14:paraId="3A307FFB" w14:textId="77777777" w:rsidR="00AA5A9B" w:rsidRPr="00AA5A9B" w:rsidRDefault="00AA5A9B" w:rsidP="00AA5A9B">
      <w:pPr>
        <w:rPr>
          <w:lang w:val="en-US"/>
        </w:rPr>
      </w:pPr>
      <w:r w:rsidRPr="00AA5A9B">
        <w:rPr>
          <w:lang w:val="en-US"/>
        </w:rPr>
        <w:t>\</w:t>
      </w:r>
      <w:proofErr w:type="gramStart"/>
      <w:r w:rsidRPr="00AA5A9B">
        <w:rPr>
          <w:lang w:val="en-US"/>
        </w:rPr>
        <w:t>ac</w:t>
      </w:r>
      <w:proofErr w:type="gramEnd"/>
      <w:r w:rsidRPr="00AA5A9B">
        <w:rPr>
          <w:lang w:val="en-US"/>
        </w:rPr>
        <w:t>{</w:t>
      </w:r>
      <w:proofErr w:type="spellStart"/>
      <w:r w:rsidRPr="00AA5A9B">
        <w:rPr>
          <w:lang w:val="en-US"/>
        </w:rPr>
        <w:t>s.agalac</w:t>
      </w:r>
      <w:proofErr w:type="spellEnd"/>
      <w:r w:rsidRPr="00AA5A9B">
        <w:rPr>
          <w:lang w:val="en-US"/>
        </w:rPr>
        <w:t>}, \ac{</w:t>
      </w:r>
      <w:proofErr w:type="spellStart"/>
      <w:r w:rsidRPr="00AA5A9B">
        <w:rPr>
          <w:lang w:val="en-US"/>
        </w:rPr>
        <w:t>a.veranii</w:t>
      </w:r>
      <w:proofErr w:type="spellEnd"/>
      <w:r w:rsidRPr="00AA5A9B">
        <w:rPr>
          <w:lang w:val="en-US"/>
        </w:rPr>
        <w:t>}.</w:t>
      </w:r>
    </w:p>
    <w:p w14:paraId="71AA8BEF" w14:textId="77777777" w:rsidR="00AA5A9B" w:rsidRPr="00AA5A9B" w:rsidRDefault="00AA5A9B" w:rsidP="00AA5A9B">
      <w:pPr>
        <w:rPr>
          <w:lang w:val="en-US"/>
        </w:rPr>
      </w:pPr>
    </w:p>
    <w:p w14:paraId="36C7422A" w14:textId="77777777" w:rsidR="00AA5A9B" w:rsidRPr="00AA5A9B" w:rsidRDefault="00AA5A9B" w:rsidP="00AA5A9B">
      <w:pPr>
        <w:rPr>
          <w:lang w:val="en-US"/>
        </w:rPr>
      </w:pPr>
      <w:r w:rsidRPr="00AA5A9B">
        <w:rPr>
          <w:lang w:val="en-US"/>
        </w:rPr>
        <w:t>\</w:t>
      </w:r>
      <w:proofErr w:type="gramStart"/>
      <w:r w:rsidRPr="00AA5A9B">
        <w:rPr>
          <w:lang w:val="en-US"/>
        </w:rPr>
        <w:t>ac</w:t>
      </w:r>
      <w:proofErr w:type="gramEnd"/>
      <w:r w:rsidRPr="00AA5A9B">
        <w:rPr>
          <w:lang w:val="en-US"/>
        </w:rPr>
        <w:t xml:space="preserve"> {chitralada4},  \ac{</w:t>
      </w:r>
      <w:proofErr w:type="spellStart"/>
      <w:r w:rsidRPr="00AA5A9B">
        <w:rPr>
          <w:lang w:val="en-US"/>
        </w:rPr>
        <w:t>bw</w:t>
      </w:r>
      <w:proofErr w:type="spellEnd"/>
      <w:r w:rsidRPr="00AA5A9B">
        <w:rPr>
          <w:lang w:val="en-US"/>
        </w:rPr>
        <w:t>},  \ac{</w:t>
      </w:r>
      <w:proofErr w:type="spellStart"/>
      <w:r w:rsidRPr="00AA5A9B">
        <w:rPr>
          <w:lang w:val="en-US"/>
        </w:rPr>
        <w:t>wg</w:t>
      </w:r>
      <w:proofErr w:type="spellEnd"/>
      <w:r w:rsidRPr="00AA5A9B">
        <w:rPr>
          <w:lang w:val="en-US"/>
        </w:rPr>
        <w:t>},</w:t>
      </w:r>
    </w:p>
    <w:p w14:paraId="1542264B" w14:textId="77777777" w:rsidR="00AA5A9B" w:rsidRPr="00AA5A9B" w:rsidRDefault="00AA5A9B" w:rsidP="00AA5A9B">
      <w:pPr>
        <w:rPr>
          <w:lang w:val="en-US"/>
        </w:rPr>
      </w:pPr>
    </w:p>
    <w:p w14:paraId="45DBF220" w14:textId="25C3C757" w:rsidR="007F05A9" w:rsidRPr="008D1901" w:rsidRDefault="00AA5A9B" w:rsidP="00AA5A9B">
      <w:pPr>
        <w:rPr>
          <w:lang w:val="en-US"/>
        </w:rPr>
      </w:pPr>
      <w:r w:rsidRPr="00AA5A9B">
        <w:rPr>
          <w:lang w:val="en-US"/>
        </w:rPr>
        <w:t>\</w:t>
      </w:r>
      <w:proofErr w:type="gramStart"/>
      <w:r w:rsidRPr="00AA5A9B">
        <w:rPr>
          <w:lang w:val="en-US"/>
        </w:rPr>
        <w:t>ac</w:t>
      </w:r>
      <w:proofErr w:type="gramEnd"/>
      <w:r w:rsidRPr="00AA5A9B">
        <w:rPr>
          <w:lang w:val="en-US"/>
        </w:rPr>
        <w:t>{</w:t>
      </w:r>
      <w:proofErr w:type="spellStart"/>
      <w:r w:rsidRPr="00AA5A9B">
        <w:rPr>
          <w:lang w:val="en-US"/>
        </w:rPr>
        <w:t>tsa</w:t>
      </w:r>
      <w:proofErr w:type="spellEnd"/>
      <w:r w:rsidRPr="00AA5A9B">
        <w:rPr>
          <w:lang w:val="en-US"/>
        </w:rPr>
        <w:t>},</w:t>
      </w:r>
    </w:p>
    <w:sectPr w:rsidR="007F05A9" w:rsidRPr="008D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DEA"/>
    <w:multiLevelType w:val="multilevel"/>
    <w:tmpl w:val="7CCC08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E23F8"/>
    <w:multiLevelType w:val="multilevel"/>
    <w:tmpl w:val="37F29E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01"/>
    <w:rsid w:val="002C6A9B"/>
    <w:rsid w:val="0033381B"/>
    <w:rsid w:val="00777B94"/>
    <w:rsid w:val="007F05A9"/>
    <w:rsid w:val="008316DE"/>
    <w:rsid w:val="008748C0"/>
    <w:rsid w:val="008D1901"/>
    <w:rsid w:val="00AA5A9B"/>
    <w:rsid w:val="00B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AFBA"/>
  <w15:chartTrackingRefBased/>
  <w15:docId w15:val="{928BE870-79F1-49A1-B3B6-71C5020F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9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NormalWeb">
    <w:name w:val="Normal (Web)"/>
    <w:basedOn w:val="Normal"/>
    <w:uiPriority w:val="99"/>
    <w:semiHidden/>
    <w:unhideWhenUsed/>
    <w:rsid w:val="007F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h-TH"/>
    </w:rPr>
  </w:style>
  <w:style w:type="paragraph" w:styleId="ListParagraph">
    <w:name w:val="List Paragraph"/>
    <w:basedOn w:val="Normal"/>
    <w:uiPriority w:val="34"/>
    <w:qFormat/>
    <w:rsid w:val="0033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ANDRES</dc:creator>
  <cp:keywords/>
  <dc:description/>
  <cp:lastModifiedBy>QUENTIN ANDRES</cp:lastModifiedBy>
  <cp:revision>5</cp:revision>
  <dcterms:created xsi:type="dcterms:W3CDTF">2021-08-22T14:45:00Z</dcterms:created>
  <dcterms:modified xsi:type="dcterms:W3CDTF">2021-08-27T08:16:00Z</dcterms:modified>
</cp:coreProperties>
</file>