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de Capacitación Interna</w:t>
      </w:r>
    </w:p>
    <w:p>
      <w:r>
        <w:t>Documento ficticio para el Challenge Alura Agentes.</w:t>
      </w:r>
    </w:p>
    <w:p>
      <w:pPr>
        <w:pStyle w:val="Heading1"/>
      </w:pPr>
      <w:r>
        <w:t>Seguridad para desarrolladores</w:t>
      </w:r>
    </w:p>
    <w:p>
      <w:r>
        <w:t>Curso obligatorio durante la primera semana. Duración: 3 horas.</w:t>
      </w:r>
    </w:p>
    <w:p>
      <w:pPr>
        <w:pStyle w:val="Heading1"/>
      </w:pPr>
      <w:r>
        <w:t>Fundamentos de OCI</w:t>
      </w:r>
    </w:p>
    <w:p>
      <w:r>
        <w:t>Curso recomendado durante los primeros 30 días. Duración: 6 horas.</w:t>
      </w:r>
    </w:p>
    <w:p>
      <w:pPr>
        <w:pStyle w:val="Heading1"/>
      </w:pPr>
      <w:r>
        <w:t>Desarrollo con Java 21</w:t>
      </w:r>
    </w:p>
    <w:p>
      <w:r>
        <w:t>Curso para el equipo backend. Duración: 8 horas.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