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F1AF2" w14:textId="699543D7" w:rsidR="00E5544B" w:rsidRPr="00456E5C" w:rsidRDefault="00456E5C" w:rsidP="00456E5C">
      <w:pPr>
        <w:bidi/>
        <w:rPr>
          <w:rFonts w:asciiTheme="majorBidi" w:hAnsiTheme="majorBidi" w:cstheme="majorBidi"/>
          <w:sz w:val="28"/>
          <w:szCs w:val="28"/>
        </w:rPr>
      </w:pPr>
      <w:r w:rsidRPr="00456E5C">
        <w:rPr>
          <w:rFonts w:asciiTheme="majorBidi" w:hAnsiTheme="majorBidi" w:cstheme="majorBidi"/>
          <w:color w:val="333333"/>
          <w:sz w:val="24"/>
          <w:szCs w:val="24"/>
          <w:shd w:val="clear" w:color="auto" w:fill="FFFFFF"/>
          <w:rtl/>
        </w:rPr>
        <w:t>يتناول هذا المساق المسؤوليات الأخلاقية والقانونية والاجتماعية لأخصائي تكنولوجيا المعلومات المهنية. وسيتم عرض مدونة أخلاقيات السلوك المهني من خلال تحليل دراسات الحالة. وتشمل القضايا التي تتناولها أخلاقيات تكنولوجيا المعلومات الحاسوب في مكان العمل وجريمة الكمبيوتر والخصوصية وعدم الكشف عن هويته والملكية الفكرية والعولمة</w:t>
      </w:r>
    </w:p>
    <w:sectPr w:rsidR="00E5544B" w:rsidRPr="0045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D5"/>
    <w:rsid w:val="00154893"/>
    <w:rsid w:val="003F1307"/>
    <w:rsid w:val="00456E5C"/>
    <w:rsid w:val="006933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BB1F"/>
  <w15:chartTrackingRefBased/>
  <w15:docId w15:val="{47F6F2CF-8C24-4A97-A382-8B4C34E0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dc:creator>
  <cp:keywords/>
  <dc:description/>
  <cp:lastModifiedBy>Israa</cp:lastModifiedBy>
  <cp:revision>3</cp:revision>
  <dcterms:created xsi:type="dcterms:W3CDTF">2020-09-18T15:22:00Z</dcterms:created>
  <dcterms:modified xsi:type="dcterms:W3CDTF">2020-09-18T15:23:00Z</dcterms:modified>
</cp:coreProperties>
</file>