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left"/>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Soil Doctor: Integrating LSTM Sensor Models with Retrieval-Augmented Generation for Smallholder Soil Advisory</w:t>
      </w:r>
    </w:p>
    <w:p>
      <w:pPr>
        <w:spacing w:after="0" w:before="0" w:line="480"/>
        <w:jc w:val="left"/>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Israel Durotoye [add co-author(s) and supervisor]</w:t>
      </w:r>
    </w:p>
    <w:p>
      <w:pPr>
        <w:spacing w:after="0" w:before="0" w:line="480"/>
        <w:jc w:val="center"/>
      </w:pPr>
      <w:r>
        <w:rPr>
          <w:rFonts w:ascii="Times New Roman" w:cs="Times New Roman" w:eastAsia="Times New Roman" w:hAnsi="Times New Roman"/>
          <w:sz w:val="24"/>
          <w:szCs w:val="24"/>
        </w:rPr>
        <w:t xml:space="preserve">[Department, Institution, City, Country]</w:t>
      </w:r>
    </w:p>
    <w:p>
      <w:pPr>
        <w:spacing w:after="0" w:before="0" w:line="480"/>
        <w:jc w:val="left"/>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Author Note</w:t>
      </w:r>
    </w:p>
    <w:p>
      <w:pPr>
        <w:spacing w:after="0" w:before="0" w:line="480"/>
        <w:ind w:firstLine="720"/>
        <w:jc w:val="left"/>
      </w:pPr>
      <w:r>
        <w:rPr>
          <w:rFonts w:ascii="Times New Roman" w:cs="Times New Roman" w:eastAsia="Times New Roman" w:hAnsi="Times New Roman"/>
          <w:sz w:val="24"/>
          <w:szCs w:val="24"/>
        </w:rPr>
        <w:t xml:space="preserve">Correspondence concerning this article should be addressed to [corresponding author e-mail].</w:t>
      </w:r>
    </w:p>
    <w:p>
      <w:pPr>
        <w:pageBreakBefore/>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Smallholder farmers need advice that reflects the condition of their own soil, but extension staff are scarce and general-purpose chatbots answer without knowing the field. This paper describes Soil Doctor, a decision support system in which long short-term memory (LSTM) models and a retrieval-augmented generation (RAG) assistant work as one pipeline over Internet-of-Things soil telemetry. Three LSTM models analyse each sensor node: an encoder–decoder forecaster, an autoencoder that screens the newest readings for anomalies, and a classifier that recommends a crop. Their outputs reach the language model in two ways: as a structured evidence block in the prompt, with every forecast labelled by whether it beat naive baselines on held-out data, and as a condition-aware search query, so that knowledge retrieved from a 1,145-fact agronomic knowledge base matches what the models found. On the deployment telemetry (986 chronological windows) the forecaster did not improve on a window-mean baseline for any sensor. In a development experiment on temporally structured data, an absolute-level formulation lost to persistence, whereas a change-from-last-reading formulation matched persistence to within 7% and beat it by 10% for humidity. The system therefore reports forecasts as level estimates unless skill is demonstrated. We contribute the integration design, a baseline gate for passing model output to a language model, and an account of the faults that had kept the LSTM models from influencing advice.</w:t>
      </w:r>
    </w:p>
    <w:p>
      <w:pPr>
        <w:spacing w:after="0" w:before="0" w:line="480"/>
        <w:ind w:firstLine="720"/>
        <w:jc w:val="left"/>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retrieval-augmented generation, long short-term memory, precision agriculture, Internet of Things, soil nutrients, anomaly detection, time-series forecasting, decision support</w:t>
      </w:r>
    </w:p>
    <w:p>
      <w:pPr>
        <w:pageBreakBefore/>
        <w:spacing w:after="0" w:before="0" w:line="480"/>
        <w:jc w:val="center"/>
      </w:pPr>
      <w:r>
        <w:rPr>
          <w:rFonts w:ascii="Times New Roman" w:cs="Times New Roman" w:eastAsia="Times New Roman" w:hAnsi="Times New Roman"/>
          <w:b/>
          <w:bCs/>
          <w:sz w:val="24"/>
          <w:szCs w:val="24"/>
        </w:rPr>
        <w:t xml:space="preserve">Soil Doctor: Integrating LSTM Sensor Models with Retrieval-Augmented Generation for Smallholder Soil Advisory</w:t>
      </w:r>
    </w:p>
    <w:p>
      <w:pPr>
        <w:spacing w:after="0" w:before="0" w:line="480"/>
        <w:ind w:firstLine="720"/>
        <w:jc w:val="left"/>
      </w:pPr>
      <w:r>
        <w:rPr>
          <w:rFonts w:ascii="Times New Roman" w:cs="Times New Roman" w:eastAsia="Times New Roman" w:hAnsi="Times New Roman"/>
          <w:sz w:val="24"/>
          <w:szCs w:val="24"/>
        </w:rPr>
        <w:t xml:space="preserve">Advice on soil fertility pays off when it is specific to the field: in a three-year randomised trial with 792 households in northern Nigeria, site-specific nutrient recommendations raised the adoption of good fertiliser practices and, in one treatment arm, yields and revenues (Maertens et al., 2023). Delivering such advice is difficult because extension services are thinly staffed; in a survey of extension agents serving rice farmers in north-central Nigeria, the shortage of extension workers relative to farmers was the highest-ranked constraint (Ojo et al., 2024). Digital tools are a common response, yet a scoping review of smallholder digitalisation in sub-Saharan Africa found that connectivity, digital literacy, infrastructure and affordability still limit their use (Choruma et al., 2024), and a study of 572 farmers in Ogun State reported that training, internet access and smartphone ownership shape willingness to adopt them (Abioye et al., 2024).</w:t>
      </w:r>
    </w:p>
    <w:p>
      <w:pPr>
        <w:spacing w:after="0" w:before="0" w:line="480"/>
        <w:ind w:firstLine="720"/>
        <w:jc w:val="left"/>
      </w:pPr>
      <w:r>
        <w:rPr>
          <w:rFonts w:ascii="Times New Roman" w:cs="Times New Roman" w:eastAsia="Times New Roman" w:hAnsi="Times New Roman"/>
          <w:sz w:val="24"/>
          <w:szCs w:val="24"/>
        </w:rPr>
        <w:t xml:space="preserve">Two technologies now make field-specific advice cheaper to produce. The first is the Internet of Things (IoT): wireless sensor networks for irrigation, soil moisture monitoring and fertiliser optimisation are well documented (Mowla et al., 2023), including sensor nodes that report nitrogen, phosphorus and potassium (NPK) (Musa et al., 2024), and cloud platforms built for resource-constrained farms in sub-Saharan Africa (Okoh et al., 2023). The second is the large language model (LLM), which can turn technical knowledge into plain language and has been proposed as a way to extend the reach of agricultural extension (Tzachor et al., 2023). LLMs alone are not sufficient, however: when ChatGPT answered questions from rice farmers in Kano State, its responses were rated higher overall than those of extension agents but were weaker on planting time, seed rate and fertiliser rate and timing, which led the authors to call for site-specific information before direct use by farmers (Ibrahim et al., 2024).</w:t>
      </w:r>
    </w:p>
    <w:p>
      <w:pPr>
        <w:spacing w:after="0" w:before="0" w:line="480"/>
        <w:ind w:firstLine="720"/>
        <w:jc w:val="left"/>
      </w:pPr>
      <w:r>
        <w:rPr>
          <w:rFonts w:ascii="Times New Roman" w:cs="Times New Roman" w:eastAsia="Times New Roman" w:hAnsi="Times New Roman"/>
          <w:sz w:val="24"/>
          <w:szCs w:val="24"/>
        </w:rPr>
        <w:t xml:space="preserve">Retrieval-augmented generation (RAG) addresses part of this weakness by supplying the model with external documents at answer time, which reduces hallucination and outdated knowledge (Fan et al., 2024; Gao et al., 2023). RAG grounds the answer in what is written in the knowledge base, but it does not know what the sensors in a particular field are reporting. Sequence models such as long short-term memory (LSTM) networks are the established tool for that second task, and they are widely used to forecast soil moisture from sensor histories (Ivanova, 2025; Y. Wang et al., 2024). The two technologies are complementary: evidence from time-series research indicates that language models add little to numerical forecasting itself (Tan et al., 2024), while they are effective at interpreting sensor-derived information when it is placed in their context (Kim et al., 2024; Xu et al., 2024).</w:t>
      </w:r>
    </w:p>
    <w:p>
      <w:pPr>
        <w:spacing w:after="0" w:before="0" w:line="480"/>
        <w:ind w:firstLine="720"/>
        <w:jc w:val="left"/>
      </w:pPr>
      <w:r>
        <w:rPr>
          <w:rFonts w:ascii="Times New Roman" w:cs="Times New Roman" w:eastAsia="Times New Roman" w:hAnsi="Times New Roman"/>
          <w:sz w:val="24"/>
          <w:szCs w:val="24"/>
        </w:rPr>
        <w:t xml:space="preserve">This paper describes Soil Doctor, a system that joins the two in the tool-oriented manner outlined for LLMs and time-series models (Zhang et al., 2024). LSTM models analyse the telemetry of each sensor node, and a RAG assistant explains the result to the farmer. The paper makes three contributions, each responding to the call for more trustworthy and explainable LLM systems in agricultural decision making (Vizniuk et al., 2025). First, it specifies how the LSTM and RAG subsystems communicate: model outputs are passed to the language model as a structured evidence block and are also used to decide what knowledge is retrieved. Second, it introduces a baseline gate, in which each forecast is labelled according to whether the model beat naive baselines on held-out data, following the evaluation practice recommended for forecasting research (Hewamalage et al., 2023). Third, it reports the engineering faults that had prevented the LSTM models from influencing advice in an earlier version of the system, in the spirit of experience reports on RAG engineering (Barnett et al., 2024).</w:t>
      </w:r>
    </w:p>
    <w:p>
      <w:pPr>
        <w:keepNext/>
        <w:spacing w:after="0" w:before="0" w:line="480"/>
        <w:jc w:val="center"/>
      </w:pPr>
      <w:r>
        <w:rPr>
          <w:rFonts w:ascii="Times New Roman" w:cs="Times New Roman" w:eastAsia="Times New Roman" w:hAnsi="Times New Roman"/>
          <w:b/>
          <w:bCs/>
          <w:sz w:val="24"/>
          <w:szCs w:val="24"/>
        </w:rPr>
        <w:t xml:space="preserve">Literature Review</w:t>
      </w:r>
    </w:p>
    <w:p>
      <w:pPr>
        <w:keepNext/>
        <w:spacing w:after="0" w:before="0" w:line="480"/>
        <w:jc w:val="left"/>
      </w:pPr>
      <w:r>
        <w:rPr>
          <w:rFonts w:ascii="Times New Roman" w:cs="Times New Roman" w:eastAsia="Times New Roman" w:hAnsi="Times New Roman"/>
          <w:b/>
          <w:bCs/>
          <w:sz w:val="24"/>
          <w:szCs w:val="24"/>
        </w:rPr>
        <w:t xml:space="preserve">Retrieval-Augmented Generation</w:t>
      </w:r>
    </w:p>
    <w:p>
      <w:pPr>
        <w:spacing w:after="0" w:before="0" w:line="480"/>
        <w:ind w:firstLine="720"/>
        <w:jc w:val="left"/>
      </w:pPr>
      <w:r>
        <w:rPr>
          <w:rFonts w:ascii="Times New Roman" w:cs="Times New Roman" w:eastAsia="Times New Roman" w:hAnsi="Times New Roman"/>
          <w:sz w:val="24"/>
          <w:szCs w:val="24"/>
        </w:rPr>
        <w:t xml:space="preserve">Surveys describe RAG as a response to three limits of LLMs: hallucination, outdated knowledge and reasoning that cannot be traced to a source (Gao et al., 2023). A retrieval-augmented system supplies reliable and up-to-date external knowledge to the model, and its design can be analysed in terms of architecture, training strategy and application (Fan et al., 2024). Hallucination remains a concern after retrieval is added: natural language generation systems are prone to producing unintended text that degrades real-world performance (Ji et al., 2023), and a recent survey of LLM hallucination explicitly lists the current limitations of retrieval-augmented models in combating it (Huang et al., 2025).</w:t>
      </w:r>
    </w:p>
    <w:p>
      <w:pPr>
        <w:spacing w:after="0" w:before="0" w:line="480"/>
        <w:ind w:firstLine="720"/>
        <w:jc w:val="left"/>
      </w:pPr>
      <w:r>
        <w:rPr>
          <w:rFonts w:ascii="Times New Roman" w:cs="Times New Roman" w:eastAsia="Times New Roman" w:hAnsi="Times New Roman"/>
          <w:sz w:val="24"/>
          <w:szCs w:val="24"/>
        </w:rPr>
        <w:t xml:space="preserve">The quality of what is retrieved is therefore central. Asai et al. (2024) showed that retrieving a fixed number of passages indiscriminately can reduce the versatility of a model, and that retrieving on demand and critiquing the retrieved passages improves factuality and citation accuracy. Yan et al. (2024) made a similar argument, noting that RAG depends heavily on the relevance of retrieved documents and adding a lightweight evaluator that triggers corrective actions when retrieval is poor. Benchmark evidence points the same way: across six LLMs, J. Chen et al. (2024) found that models still struggle to reject irrelevant context, integrate information and resist false information. The position of evidence in the prompt also matters, since performance is highest when relevant information appears at the beginning or end of the context and degrades when it sits in the middle (Liu et al., 2024).</w:t>
      </w:r>
    </w:p>
    <w:p>
      <w:pPr>
        <w:spacing w:after="0" w:before="0" w:line="480"/>
        <w:ind w:firstLine="720"/>
        <w:jc w:val="left"/>
      </w:pPr>
      <w:r>
        <w:rPr>
          <w:rFonts w:ascii="Times New Roman" w:cs="Times New Roman" w:eastAsia="Times New Roman" w:hAnsi="Times New Roman"/>
          <w:sz w:val="24"/>
          <w:szCs w:val="24"/>
        </w:rPr>
        <w:t xml:space="preserve">Engineering experience confirms that these issues appear in practice. Barnett et al. (2024) identified seven failure points across three RAG case studies and concluded that validation is only feasible during operation and that robustness evolves rather than being designed in at the start. X. Wang et al. (2024) observed that a RAG workflow contains many steps, each of which can be implemented in several ways, and searched for combinations that balance performance and efficiency. Evaluation frameworks such as RAGAs assess whether the retrieved context is relevant and whether the answer is faithful to it without requiring human reference answers (Es et al., 2024).</w:t>
      </w:r>
    </w:p>
    <w:p>
      <w:pPr>
        <w:keepNext/>
        <w:spacing w:after="0" w:before="0" w:line="480"/>
        <w:jc w:val="left"/>
      </w:pPr>
      <w:r>
        <w:rPr>
          <w:rFonts w:ascii="Times New Roman" w:cs="Times New Roman" w:eastAsia="Times New Roman" w:hAnsi="Times New Roman"/>
          <w:b/>
          <w:bCs/>
          <w:sz w:val="24"/>
          <w:szCs w:val="24"/>
        </w:rPr>
        <w:t xml:space="preserve">Retrieval Components</w:t>
      </w:r>
    </w:p>
    <w:p>
      <w:pPr>
        <w:spacing w:after="0" w:before="0" w:line="480"/>
        <w:ind w:firstLine="720"/>
        <w:jc w:val="left"/>
      </w:pPr>
      <w:r>
        <w:rPr>
          <w:rFonts w:ascii="Times New Roman" w:cs="Times New Roman" w:eastAsia="Times New Roman" w:hAnsi="Times New Roman"/>
          <w:sz w:val="24"/>
          <w:szCs w:val="24"/>
        </w:rPr>
        <w:t xml:space="preserve">Most RAG systems retrieve with dense text embeddings, and no single embedding model dominates across tasks in the Massive Text Embedding Benchmark (Muennighoff et al., 2023). Embedding models trained with weakly supervised contrastive learning were the first to outperform the BM25 keyword baseline in a zero-shot setting on a standard retrieval benchmark (L. Wang et al., 2022), and openly released embedding families reached state-of-the-art results on the Massive Text Embedding Benchmark when they were published (Xiao et al., 2024). Keyword and semantic search fail in different ways, so they are often combined: blending dense and sparse indexes improved retrieval accuracy and downstream question answering in one study (Sawarkar et al., 2024). How the two result lists are fused is itself a design choice; Bruch et al. (2023) compared reciprocal rank fusion with a convex combination of scores and found reciprocal rank fusion to be sensitive to its parameters. A reranking stage then reorders the fused candidates, and LLM-based rerankers have been shown to be competitive with supervised ranking methods (Sun et al., 2023). The embeddings are stored in vector database systems, whose indexing and query-processing techniques have been surveyed in detail (Pan et al., 2024).</w:t>
      </w:r>
    </w:p>
    <w:p>
      <w:pPr>
        <w:keepNext/>
        <w:spacing w:after="0" w:before="0" w:line="480"/>
        <w:jc w:val="left"/>
      </w:pPr>
      <w:r>
        <w:rPr>
          <w:rFonts w:ascii="Times New Roman" w:cs="Times New Roman" w:eastAsia="Times New Roman" w:hAnsi="Times New Roman"/>
          <w:b/>
          <w:bCs/>
          <w:sz w:val="24"/>
          <w:szCs w:val="24"/>
        </w:rPr>
        <w:t xml:space="preserve">Language Models and RAG in Agricultural Advisory</w:t>
      </w:r>
    </w:p>
    <w:p>
      <w:pPr>
        <w:spacing w:after="0" w:before="0" w:line="480"/>
        <w:ind w:firstLine="720"/>
        <w:jc w:val="left"/>
      </w:pPr>
      <w:r>
        <w:rPr>
          <w:rFonts w:ascii="Times New Roman" w:cs="Times New Roman" w:eastAsia="Times New Roman" w:hAnsi="Times New Roman"/>
          <w:sz w:val="24"/>
          <w:szCs w:val="24"/>
        </w:rPr>
        <w:t xml:space="preserve">Language models have been tested directly on agronomic knowledge. Silva et al. (2023) evaluated LLMs with retrieval and ensemble refinement on agriculture examinations from Brazil, India and the United States and reported that GPT-4 achieved a passing score. Balaguer et al. (2024) compared RAG and fine-tuning on an agricultural dataset and found that the gains from the two were cumulative. Retrieval over agricultural documents has also been studied on its own: the AgAsk project built a test collection of real farmer questions and found neural rankers effective at matching passages to them (Koopman et al., 2023).</w:t>
      </w:r>
    </w:p>
    <w:p>
      <w:pPr>
        <w:spacing w:after="0" w:before="0" w:line="480"/>
        <w:ind w:firstLine="720"/>
        <w:jc w:val="left"/>
      </w:pPr>
      <w:r>
        <w:rPr>
          <w:rFonts w:ascii="Times New Roman" w:cs="Times New Roman" w:eastAsia="Times New Roman" w:hAnsi="Times New Roman"/>
          <w:sz w:val="24"/>
          <w:szCs w:val="24"/>
        </w:rPr>
        <w:t xml:space="preserve">Deployed advisory systems follow the same pattern. Farmer.Chat, a generative chatbot for smallholder extension, was deployed in four countries and answered more than 300,000 queries (Singh et al., 2024). Sawant et al. (2026) built a RAG advisory framework over package-of-practices documents for five crops with a ChromaDB vector store and compared open language models on retrieval and faithfulness metrics. AgroLLM added a domain knowledge layer of agronomic thresholds and causal rules that guides retrieval and validates outputs, and reported fewer hallucinations and numerical violations (Ravindran et al., 2026). A survey of retrieval-augmented LLMs for agricultural decision making concluded that RAG addresses key knowledge limits but that trustworthiness, explainability and bias remain open problems (Vizniuk et al., 2025).</w:t>
      </w:r>
    </w:p>
    <w:p>
      <w:pPr>
        <w:spacing w:after="0" w:before="0" w:line="480"/>
        <w:ind w:firstLine="720"/>
        <w:jc w:val="left"/>
      </w:pPr>
      <w:r>
        <w:rPr>
          <w:rFonts w:ascii="Times New Roman" w:cs="Times New Roman" w:eastAsia="Times New Roman" w:hAnsi="Times New Roman"/>
          <w:sz w:val="24"/>
          <w:szCs w:val="24"/>
        </w:rPr>
        <w:t xml:space="preserve">The risks of such systems are recognised. Perspectives on LLMs in food production warn about agricultural misinformation and the large-scale collection of farmer data (De Clercq et al., 2024), and an analysis of responsible artificial intelligence in agriculture highlights data reliability and unintended consequences at scale (Tzachor et al., 2022). A rapid review of twelve studies found that LLMs support question answering in extension work but raise concerns about transparency, accountability and inclusion (Edet &amp; Chowdhury, 2026). For Nigeria specifically, the shortcomings observed when GPT generated technical advice for cassava farmers led Tzachor et al. (2023) to propose that human experts remain in the loop.</w:t>
      </w:r>
    </w:p>
    <w:p>
      <w:pPr>
        <w:keepNext/>
        <w:spacing w:after="0" w:before="0" w:line="480"/>
        <w:jc w:val="left"/>
      </w:pPr>
      <w:r>
        <w:rPr>
          <w:rFonts w:ascii="Times New Roman" w:cs="Times New Roman" w:eastAsia="Times New Roman" w:hAnsi="Times New Roman"/>
          <w:b/>
          <w:bCs/>
          <w:sz w:val="24"/>
          <w:szCs w:val="24"/>
        </w:rPr>
        <w:t xml:space="preserve">LSTM Forecasting of Soil and Micro-Climate Variables</w:t>
      </w:r>
    </w:p>
    <w:p>
      <w:pPr>
        <w:spacing w:after="0" w:before="0" w:line="480"/>
        <w:ind w:firstLine="720"/>
        <w:jc w:val="left"/>
      </w:pPr>
      <w:r>
        <w:rPr>
          <w:rFonts w:ascii="Times New Roman" w:cs="Times New Roman" w:eastAsia="Times New Roman" w:hAnsi="Times New Roman"/>
          <w:sz w:val="24"/>
          <w:szCs w:val="24"/>
        </w:rPr>
        <w:t xml:space="preserve">LSTM networks are the most common deep learning choice for soil moisture prediction. A comparison of ten network structures concluded that the temporal modelling of LSTM is well suited to the task and that attention mechanisms improve accuracy further (Y. Wang et al., 2024). Encoder–decoder designs extend the approach to multi-step forecasts: Q. Li et al. (2022) reported that an encoder–decoder LSTM with residual learning improved on a plain LSTM, with larger gains at longer lead times, and L. Li et al. (2022) used an attention-based convolutional LSTM encoder–decoder for multi-step soil moisture forecasting from satellite products. Hybrid models are also common; a hybrid CNN-LSTM outperformed LSTM and bidirectional LSTM for next-day prediction in one study (Koné et al., 2023), convolutional attention improved an encoder–decoder LSTM in another (Han et al., 2024), and an LSTM feature extractor combined with gradient boosting gave accurate forecasts at 24- to 168-hour horizons (Kandamali et al., 2025).</w:t>
      </w:r>
    </w:p>
    <w:p>
      <w:pPr>
        <w:spacing w:after="0" w:before="0" w:line="480"/>
        <w:ind w:firstLine="720"/>
        <w:jc w:val="left"/>
      </w:pPr>
      <w:r>
        <w:rPr>
          <w:rFonts w:ascii="Times New Roman" w:cs="Times New Roman" w:eastAsia="Times New Roman" w:hAnsi="Times New Roman"/>
          <w:sz w:val="24"/>
          <w:szCs w:val="24"/>
        </w:rPr>
        <w:t xml:space="preserve">Reported accuracy depends strongly on the data and on how the evaluation is designed. Transformers and LSTMs achieved similar and modest scores for soil moisture in shallow-groundwater areas, with an average coefficient of determination near 0.5 for both (Wang &amp; Zha, 2024). A six-month IoT deployment in Malaysia reported a coefficient of determination of 0.67 for an RNN-LSTM model, with the largest errors during heavy rain (Maniam et al., 2026). A systematic review of sensor-based soil moisture forecasting found that a transparent, unified methodology for designing and evaluating such models is still missing (Ivanova, 2025), and a second review, which catalogued approaches from classical machine learning to fine-tuned LLMs, identified explainability as an open direction (Islam et al., 2025).</w:t>
      </w:r>
    </w:p>
    <w:p>
      <w:pPr>
        <w:spacing w:after="0" w:before="0" w:line="480"/>
        <w:ind w:firstLine="720"/>
        <w:jc w:val="left"/>
      </w:pPr>
      <w:r>
        <w:rPr>
          <w:rFonts w:ascii="Times New Roman" w:cs="Times New Roman" w:eastAsia="Times New Roman" w:hAnsi="Times New Roman"/>
          <w:sz w:val="24"/>
          <w:szCs w:val="24"/>
        </w:rPr>
        <w:t xml:space="preserve">The wider forecasting literature explains why evaluation design matters. Deep learning has become a standard approach to time-series forecasting (Benidis et al., 2022), but Zeng et al. (2023) showed that simple one-layer linear models outperformed sophisticated Transformer forecasters on nine datasets. Hewamalage et al. (2023) documented evaluation pitfalls that make uncompetitive methods appear competitive and recommended appropriate data partitioning and comparison with simple benchmarks. These findings motivate the baseline gate described later in this paper.</w:t>
      </w:r>
    </w:p>
    <w:p>
      <w:pPr>
        <w:keepNext/>
        <w:spacing w:after="0" w:before="0" w:line="480"/>
        <w:jc w:val="left"/>
      </w:pPr>
      <w:r>
        <w:rPr>
          <w:rFonts w:ascii="Times New Roman" w:cs="Times New Roman" w:eastAsia="Times New Roman" w:hAnsi="Times New Roman"/>
          <w:b/>
          <w:bCs/>
          <w:sz w:val="24"/>
          <w:szCs w:val="24"/>
        </w:rPr>
        <w:t xml:space="preserve">LSTM Autoencoders for Sensor Anomaly Detection</w:t>
      </w:r>
    </w:p>
    <w:p>
      <w:pPr>
        <w:spacing w:after="0" w:before="0" w:line="480"/>
        <w:ind w:firstLine="720"/>
        <w:jc w:val="left"/>
      </w:pPr>
      <w:r>
        <w:rPr>
          <w:rFonts w:ascii="Times New Roman" w:cs="Times New Roman" w:eastAsia="Times New Roman" w:hAnsi="Times New Roman"/>
          <w:sz w:val="24"/>
          <w:szCs w:val="24"/>
        </w:rPr>
        <w:t xml:space="preserve">Deep anomaly detection for time series is commonly organised by detection strategy, and reconstruction-based methods form one of the main groups (Zamanzadeh Darban et al., 2024). An evaluation of reconstruction-based methods for multivariate series described them as the best-performing group among deep approaches (Yahya et al., 2025), and a large evaluation re-implemented 71 algorithms and compared them on 976 datasets for effectiveness, efficiency and robustness (Schmidl et al., 2022). The LSTM autoencoder is a typical reconstruction model: it is trained on ordinary data, and a window is flagged when its reconstruction error exceeds a threshold. Wei et al. (2023) applied this design to indoor air-quality data with a threshold derived from the reconstruction loss, Githinji and Maina (2023) applied it to IoT water-level sensors in a river catchment, and Park et al. (2023) combined it with a one-class classifier for more stable unsupervised detection. In smart agriculture, a reconstruction-based detector was evaluated on three datasets by Cheng et al. (2022), who noted that agricultural IoT data often suffer from loss and misrepresentation.</w:t>
      </w:r>
    </w:p>
    <w:p>
      <w:pPr>
        <w:keepNext/>
        <w:spacing w:after="0" w:before="0" w:line="480"/>
        <w:jc w:val="left"/>
      </w:pPr>
      <w:r>
        <w:rPr>
          <w:rFonts w:ascii="Times New Roman" w:cs="Times New Roman" w:eastAsia="Times New Roman" w:hAnsi="Times New Roman"/>
          <w:b/>
          <w:bCs/>
          <w:sz w:val="24"/>
          <w:szCs w:val="24"/>
        </w:rPr>
        <w:t xml:space="preserve">Crop Recommendation from Soil and Climate Data</w:t>
      </w:r>
    </w:p>
    <w:p>
      <w:pPr>
        <w:spacing w:after="0" w:before="0" w:line="480"/>
        <w:ind w:firstLine="720"/>
        <w:jc w:val="left"/>
      </w:pPr>
      <w:r>
        <w:rPr>
          <w:rFonts w:ascii="Times New Roman" w:cs="Times New Roman" w:eastAsia="Times New Roman" w:hAnsi="Times New Roman"/>
          <w:sz w:val="24"/>
          <w:szCs w:val="24"/>
        </w:rPr>
        <w:t xml:space="preserve">Crop recommendation is usually framed as classification from soil nutrients and climate. Tree ensembles reached about 99% accuracy on a public dataset of NPK, pH, temperature, rainfall and humidity (Dey et al., 2024), and a neural network recommender for Rwandan crops reached 97% (Musanase et al., 2023). IoT systems have combined NPK, moisture and temperature sensors with such classifiers to recommend crops and fertiliser in the field (Islam et al., 2023). Sequence models are rarer: a CNN-LSTM model classified soil suitability from real-time sensor data (Srivarshini et al., 2025), and a hybrid system used an LSTM weather forecast to drive rule-based crop advisories (Mohamed et al., 2025). One study converted tabular crop data to text and fine-tuned language models for the task, which also enabled conversational use (Abu Bakr et al., 2025).</w:t>
      </w:r>
    </w:p>
    <w:p>
      <w:pPr>
        <w:keepNext/>
        <w:spacing w:after="0" w:before="0" w:line="480"/>
        <w:jc w:val="left"/>
      </w:pPr>
      <w:r>
        <w:rPr>
          <w:rFonts w:ascii="Times New Roman" w:cs="Times New Roman" w:eastAsia="Times New Roman" w:hAnsi="Times New Roman"/>
          <w:b/>
          <w:bCs/>
          <w:sz w:val="24"/>
          <w:szCs w:val="24"/>
        </w:rPr>
        <w:t xml:space="preserve">Sensor Data Quality and Forecast Uncertainty</w:t>
      </w:r>
    </w:p>
    <w:p>
      <w:pPr>
        <w:spacing w:after="0" w:before="0" w:line="480"/>
        <w:ind w:firstLine="720"/>
        <w:jc w:val="left"/>
      </w:pPr>
      <w:r>
        <w:rPr>
          <w:rFonts w:ascii="Times New Roman" w:cs="Times New Roman" w:eastAsia="Times New Roman" w:hAnsi="Times New Roman"/>
          <w:sz w:val="24"/>
          <w:szCs w:val="24"/>
        </w:rPr>
        <w:t xml:space="preserve">Any model built on low-cost sensors inherits their errors. Capacitive soil moisture sensors offer dense coverage at medium accuracy (Schwamback et al., 2023) and showed sensor-to-sensor variation of 10–16% above 30% moisture in a calibration study (Abdelmoneim et al., 2025). Low-cost electrical conductivity sensors drift over time because of ageing, weather and soil changes (Lin et al., 2023), and a prototype NPK sensor showed an error of about 8% against laboratory controls (Musa et al., 2024). Missing values are frequent in wireless sensor data and the choice of imputation method affects downstream results (Decorte et al., 2024).</w:t>
      </w:r>
    </w:p>
    <w:p>
      <w:pPr>
        <w:spacing w:after="0" w:before="0" w:line="480"/>
        <w:ind w:firstLine="720"/>
        <w:jc w:val="left"/>
      </w:pPr>
      <w:r>
        <w:rPr>
          <w:rFonts w:ascii="Times New Roman" w:cs="Times New Roman" w:eastAsia="Times New Roman" w:hAnsi="Times New Roman"/>
          <w:sz w:val="24"/>
          <w:szCs w:val="24"/>
        </w:rPr>
        <w:t xml:space="preserve">Forecasts should therefore carry an explicit statement of uncertainty. Conformal prediction provides distribution-free intervals for time series (Xu &amp; Xie, 2023), with adaptive variants for dependent data (Zaffran et al., 2022) and weighted variants that tolerate distribution drift (Barber et al., 2023). In agriculture, a quantile CNN-LSTM produced calibrated intervals for multi-layer soil moisture (Shawon et al., 2026). Soil Doctor uses a simpler relative of these methods, a quantile of held-out absolute residuals, and reports the interval together with each forecast.</w:t>
      </w:r>
    </w:p>
    <w:p>
      <w:pPr>
        <w:keepNext/>
        <w:spacing w:after="0" w:before="0" w:line="480"/>
        <w:jc w:val="left"/>
      </w:pPr>
      <w:r>
        <w:rPr>
          <w:rFonts w:ascii="Times New Roman" w:cs="Times New Roman" w:eastAsia="Times New Roman" w:hAnsi="Times New Roman"/>
          <w:b/>
          <w:bCs/>
          <w:sz w:val="24"/>
          <w:szCs w:val="24"/>
        </w:rPr>
        <w:t xml:space="preserve">Combining Language Models with Time-Series Models</w:t>
      </w:r>
    </w:p>
    <w:p>
      <w:pPr>
        <w:spacing w:after="0" w:before="0" w:line="480"/>
        <w:ind w:firstLine="720"/>
        <w:jc w:val="left"/>
      </w:pPr>
      <w:r>
        <w:rPr>
          <w:rFonts w:ascii="Times New Roman" w:cs="Times New Roman" w:eastAsia="Times New Roman" w:hAnsi="Times New Roman"/>
          <w:sz w:val="24"/>
          <w:szCs w:val="24"/>
        </w:rPr>
        <w:t xml:space="preserve">Researchers have asked whether an LLM can replace the forecasting model. Gruver et al. (2023) showed that LLMs can forecast series encoded as strings of digits, but also that a stronger model can perform worse because of how it tokenises numbers and because of poor uncertainty calibration. Time-LLM reprograms time-series patches into text prototypes for a frozen LLM (Jin et al., 2024a). Against this, Tan et al. (2024) found that removing the LLM from three such forecasters, or replacing it with a basic attention layer, did not degrade and often improved performance. For anomalies, Zhou and Yu (2025) found that LLMs recognise trivial anomalies but found no evidence that they understand subtle real-world ones.</w:t>
      </w:r>
    </w:p>
    <w:p>
      <w:pPr>
        <w:spacing w:after="0" w:before="0" w:line="480"/>
        <w:ind w:firstLine="720"/>
        <w:jc w:val="left"/>
      </w:pPr>
      <w:r>
        <w:rPr>
          <w:rFonts w:ascii="Times New Roman" w:cs="Times New Roman" w:eastAsia="Times New Roman" w:hAnsi="Times New Roman"/>
          <w:sz w:val="24"/>
          <w:szCs w:val="24"/>
        </w:rPr>
        <w:t xml:space="preserve">A survey of LLMs for time series lists five ways of connecting the two, one of which is to let the LLM use external models as tools (Zhang et al., 2024), and a position paper argues that LLMs can support decision making on time-series data provided that trust is addressed (Jin et al., 2024b). Tool use is well established in general: language models can interleave reasoning with calls to external sources (Yao et al., 2023), learn when to call an interface and how to use its result (Schick et al., 2023), and operate over thousands of real-world interfaces (Qin et al., 2024). Retrieval has also been applied inside forecasting, by adding similar historical sequences to the prompt of a forecasting LLM (Yang et al., 2025).</w:t>
      </w:r>
    </w:p>
    <w:p>
      <w:pPr>
        <w:spacing w:after="0" w:before="0" w:line="480"/>
        <w:ind w:firstLine="720"/>
        <w:jc w:val="left"/>
      </w:pPr>
      <w:r>
        <w:rPr>
          <w:rFonts w:ascii="Times New Roman" w:cs="Times New Roman" w:eastAsia="Times New Roman" w:hAnsi="Times New Roman"/>
          <w:sz w:val="24"/>
          <w:szCs w:val="24"/>
        </w:rPr>
        <w:t xml:space="preserve">Evidence from other sensor domains supports passing model-derived numbers to an LLM with domain context. Adding user context, domain knowledge and temporal information to prompts improved LLM predictions from wearable sensor data (Kim et al., 2024), and LLMs showed considerable proficiency in interpreting IoT sensor data using their embedded world knowledge (Xu et al., 2024). How structured data are written into the prompt affects the result, because LLM performance on tabular input varies with format, ordering and partition marks (Sui et al., 2024).</w:t>
      </w:r>
    </w:p>
    <w:p>
      <w:pPr>
        <w:keepNext/>
        <w:spacing w:after="0" w:before="0" w:line="480"/>
        <w:jc w:val="left"/>
      </w:pPr>
      <w:r>
        <w:rPr>
          <w:rFonts w:ascii="Times New Roman" w:cs="Times New Roman" w:eastAsia="Times New Roman" w:hAnsi="Times New Roman"/>
          <w:b/>
          <w:bCs/>
          <w:sz w:val="24"/>
          <w:szCs w:val="24"/>
        </w:rPr>
        <w:t xml:space="preserve">Research Gap</w:t>
      </w:r>
    </w:p>
    <w:p>
      <w:pPr>
        <w:spacing w:after="0" w:before="0" w:line="480"/>
        <w:ind w:firstLine="720"/>
        <w:jc w:val="left"/>
      </w:pPr>
      <w:r>
        <w:rPr>
          <w:rFonts w:ascii="Times New Roman" w:cs="Times New Roman" w:eastAsia="Times New Roman" w:hAnsi="Times New Roman"/>
          <w:sz w:val="24"/>
          <w:szCs w:val="24"/>
        </w:rPr>
        <w:t xml:space="preserve">Two agricultural systems come close to the design studied here. ShizishanGPT combines a RAG module, a knowledge graph and an agent that calls specialised predictive models (Yang et al., 2024). Kissan-Dost couples commodity soil and climate sensors with RAG to deliver guidance over a messaging application, and in a small pilot its chatbot was used far more consistently than its dashboard (Ali et al., 2026). In the literature we reviewed, we did not find a system in which LSTM forecasts, an LSTM anomaly screen and an LSTM crop recommendation computed from soil telemetry are passed to a RAG assistant both as prompt evidence and as a retrieval signal, with each forecast gated by a baseline comparison; that combination is the subject of this paper.</w:t>
      </w:r>
    </w:p>
    <w:p>
      <w:pPr>
        <w:keepNext/>
        <w:spacing w:after="0" w:before="0" w:line="480"/>
        <w:jc w:val="center"/>
      </w:pPr>
      <w:r>
        <w:rPr>
          <w:rFonts w:ascii="Times New Roman" w:cs="Times New Roman" w:eastAsia="Times New Roman" w:hAnsi="Times New Roman"/>
          <w:b/>
          <w:bCs/>
          <w:sz w:val="24"/>
          <w:szCs w:val="24"/>
        </w:rPr>
        <w:t xml:space="preserve">System Overview</w:t>
      </w:r>
    </w:p>
    <w:p>
      <w:pPr>
        <w:keepNext/>
        <w:spacing w:after="0" w:before="0" w:line="480"/>
        <w:jc w:val="left"/>
      </w:pPr>
      <w:r>
        <w:rPr>
          <w:rFonts w:ascii="Times New Roman" w:cs="Times New Roman" w:eastAsia="Times New Roman" w:hAnsi="Times New Roman"/>
          <w:b/>
          <w:bCs/>
          <w:sz w:val="24"/>
          <w:szCs w:val="24"/>
        </w:rPr>
        <w:t xml:space="preserve">Figure 1</w:t>
      </w:r>
    </w:p>
    <w:p>
      <w:pPr>
        <w:keepNext/>
        <w:spacing w:after="0" w:before="0" w:line="480"/>
        <w:jc w:val="left"/>
      </w:pPr>
      <w:r>
        <w:rPr>
          <w:rFonts w:ascii="Times New Roman" w:cs="Times New Roman" w:eastAsia="Times New Roman" w:hAnsi="Times New Roman"/>
          <w:i/>
          <w:iCs/>
          <w:sz w:val="24"/>
          <w:szCs w:val="24"/>
        </w:rPr>
        <w:t xml:space="preserve">Architecture of Soil Doctor</w:t>
      </w:r>
    </w:p>
    <w:p>
      <w:pPr>
        <w:keepNext/>
        <w:spacing w:after="120" w:before="120"/>
        <w:jc w:val="center"/>
      </w:pPr>
      <w:r>
        <w:drawing>
          <wp:inline distT="0" distB="0" distL="0" distR="0">
            <wp:extent cx="5667375" cy="3495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495675"/>
                    </a:xfrm>
                    <a:prstGeom prst="rect">
                      <a:avLst/>
                    </a:prstGeom>
                  </pic:spPr>
                </pic:pic>
              </a:graphicData>
            </a:graphic>
          </wp:inline>
        </w:drawing>
      </w:r>
    </w:p>
    <w:p>
      <w:pPr>
        <w:spacing w:after="0" w:before="0" w:line="480"/>
        <w:jc w:val="left"/>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Telemetry from hardware and simulated nodes is cleaned by a single gateway, analysed by three LSTM models, and passed with retrieved agronomic knowledge to the generation layer.</w:t>
      </w:r>
    </w:p>
    <w:p>
      <w:pPr>
        <w:spacing w:after="0" w:before="0" w:line="480"/>
        <w:ind w:firstLine="720"/>
        <w:jc w:val="left"/>
      </w:pPr>
      <w:r>
        <w:rPr>
          <w:rFonts w:ascii="Times New Roman" w:cs="Times New Roman" w:eastAsia="Times New Roman" w:hAnsi="Times New Roman"/>
          <w:sz w:val="24"/>
          <w:szCs w:val="24"/>
        </w:rPr>
        <w:t xml:space="preserve">Figure 1 shows the architecture. Sensor nodes report six measurements: nitrogen, phosphorus and potassium in mg/kg, soil moisture and relative humidity in percent, and temperature in degrees Celsius. Up to three nodes are physical devices built around NPK probes of the kind reviewed by Musa et al. (2024) (two were reporting during this study); four further nodes are produced by a simulator so that the software can be exercised continuously. Readings are stored as one row per reading in cloud data stores, an arrangement typical of IoT farm platforms (Mowla et al., 2023; Okoh et al., 2023).</w:t>
      </w:r>
    </w:p>
    <w:p>
      <w:pPr>
        <w:spacing w:after="0" w:before="0" w:line="480"/>
        <w:ind w:firstLine="720"/>
        <w:jc w:val="left"/>
      </w:pPr>
      <w:r>
        <w:rPr>
          <w:rFonts w:ascii="Times New Roman" w:cs="Times New Roman" w:eastAsia="Times New Roman" w:hAnsi="Times New Roman"/>
          <w:sz w:val="24"/>
          <w:szCs w:val="24"/>
        </w:rPr>
        <w:t xml:space="preserve">A telemetry gateway is the only component that reads the data stores. It decides which store owns each node, reuses one database connection, and caches each node's recent history for twenty seconds, so that a single request triggers about three network reads instead of one per node and per feature. Before any model sees the data, the gateway sorts and de-duplicates readings, removes physically impossible values, marks timestamp gaps and interpolates only short runs of missing values, because missing and distorted values are common in agricultural sensor data (Cheng et al., 2022; Decorte et al., 2024).</w:t>
      </w:r>
    </w:p>
    <w:p>
      <w:pPr>
        <w:spacing w:after="0" w:before="0" w:line="480"/>
        <w:ind w:firstLine="720"/>
        <w:jc w:val="left"/>
      </w:pPr>
      <w:r>
        <w:rPr>
          <w:rFonts w:ascii="Times New Roman" w:cs="Times New Roman" w:eastAsia="Times New Roman" w:hAnsi="Times New Roman"/>
          <w:sz w:val="24"/>
          <w:szCs w:val="24"/>
        </w:rPr>
        <w:t xml:space="preserve">The backend is a FastAPI service and the web application provides a dashboard, a node view, a map, a data table, alerts and the chat assistant. Blocking work (retrieval, telemetry queries and the language-model call) runs in worker threads, and access to the neural models is serialised with locks.</w:t>
      </w:r>
    </w:p>
    <w:p>
      <w:pPr>
        <w:keepNext/>
        <w:spacing w:after="0" w:before="0" w:line="480"/>
        <w:jc w:val="center"/>
      </w:pPr>
      <w:r>
        <w:rPr>
          <w:rFonts w:ascii="Times New Roman" w:cs="Times New Roman" w:eastAsia="Times New Roman" w:hAnsi="Times New Roman"/>
          <w:b/>
          <w:bCs/>
          <w:sz w:val="24"/>
          <w:szCs w:val="24"/>
        </w:rPr>
        <w:t xml:space="preserve">LSTM Subsystem</w:t>
      </w:r>
    </w:p>
    <w:p>
      <w:pPr>
        <w:keepNext/>
        <w:spacing w:after="0" w:before="0" w:line="480"/>
        <w:jc w:val="left"/>
      </w:pPr>
      <w:r>
        <w:rPr>
          <w:rFonts w:ascii="Times New Roman" w:cs="Times New Roman" w:eastAsia="Times New Roman" w:hAnsi="Times New Roman"/>
          <w:b/>
          <w:bCs/>
          <w:sz w:val="24"/>
          <w:szCs w:val="24"/>
        </w:rPr>
        <w:t xml:space="preserve">Forecaster</w:t>
      </w:r>
    </w:p>
    <w:p>
      <w:pPr>
        <w:spacing w:after="0" w:before="0" w:line="480"/>
        <w:ind w:firstLine="720"/>
        <w:jc w:val="left"/>
      </w:pPr>
      <w:r>
        <w:rPr>
          <w:rFonts w:ascii="Times New Roman" w:cs="Times New Roman" w:eastAsia="Times New Roman" w:hAnsi="Times New Roman"/>
          <w:sz w:val="24"/>
          <w:szCs w:val="24"/>
        </w:rPr>
        <w:t xml:space="preserve">The forecaster is a multivariate encoder–decoder LSTM, the family used for multi-step soil forecasts in the literature (L. Li et al., 2022; Q. Li et al., 2022). It reads the newest 48 consecutive readings of the six sensors and outputs the next 48 readings. The encoder has two LSTM layers of 64 and 32 units; the encoded state is repeated 48 times and decoded by a 32-unit LSTM followed by a time-distributed dense layer. Inputs are scaled to the unit interval with a scaler fitted on training rows only.</w:t>
      </w:r>
    </w:p>
    <w:p>
      <w:pPr>
        <w:spacing w:after="0" w:before="0" w:line="480"/>
        <w:ind w:firstLine="720"/>
        <w:jc w:val="left"/>
      </w:pPr>
      <w:r>
        <w:rPr>
          <w:rFonts w:ascii="Times New Roman" w:cs="Times New Roman" w:eastAsia="Times New Roman" w:hAnsi="Times New Roman"/>
          <w:sz w:val="24"/>
          <w:szCs w:val="24"/>
        </w:rPr>
        <w:t xml:space="preserve">Training windows are built per node from gap-free stretches of history. Each stretch is split in time order into training (70%), validation (15%) and test (15%) parts, as recommended for forecast evaluation (Hewamalage et al., 2023). A reading with a missing sensor value removes only the windows that contain it. Two formulations of the target are trained: the absolute scaled value, and the change from the newest input reading; the one with the lower validation error is deployed.</w:t>
      </w:r>
    </w:p>
    <w:p>
      <w:pPr>
        <w:spacing w:after="0" w:before="0" w:line="480"/>
        <w:ind w:firstLine="720"/>
        <w:jc w:val="left"/>
      </w:pPr>
      <w:r>
        <w:rPr>
          <w:rFonts w:ascii="Times New Roman" w:cs="Times New Roman" w:eastAsia="Times New Roman" w:hAnsi="Times New Roman"/>
          <w:sz w:val="24"/>
          <w:szCs w:val="24"/>
        </w:rPr>
        <w:t xml:space="preserve">Each forecast is accompanied by an interval. For sensor s and horizon h, the half-width is the 0.9 quantile, taken over the validation windows, of the absolute residual, so the reported interval is the prediction plus or minus that value. This residual-quantile interval is a simple relative of the conformal methods proposed for time series (Xu &amp; Xie, 2023; Zaffran et al., 2022).</w:t>
      </w:r>
    </w:p>
    <w:p>
      <w:pPr>
        <w:tabs>
          <w:tab w:val="center" w:pos="4680"/>
          <w:tab w:val="right" w:pos="9360"/>
        </w:tabs>
        <w:spacing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I(s,h) = ŷ(s,h) ± Q</w:t>
      </w:r>
      <w:r>
        <w:rPr>
          <w:rFonts w:ascii="Times New Roman" w:cs="Times New Roman" w:eastAsia="Times New Roman" w:hAnsi="Times New Roman"/>
          <w:i/>
          <w:iCs/>
          <w:sz w:val="24"/>
          <w:szCs w:val="24"/>
          <w:vertAlign w:val="subscript"/>
        </w:rPr>
        <w:t xml:space="preserve">0.9</w:t>
      </w:r>
      <w:r>
        <w:rPr>
          <w:rFonts w:ascii="Times New Roman" w:cs="Times New Roman" w:eastAsia="Times New Roman" w:hAnsi="Times New Roman"/>
          <w:i/>
          <w:iCs/>
          <w:sz w:val="24"/>
          <w:szCs w:val="24"/>
        </w:rPr>
        <w:t xml:space="preserve">( |ŷ(s,h) − y(s,h)| )</w:t>
      </w:r>
      <w:r>
        <w:rPr>
          <w:rFonts w:ascii="Times New Roman" w:cs="Times New Roman" w:eastAsia="Times New Roman" w:hAnsi="Times New Roman"/>
          <w:sz w:val="24"/>
          <w:szCs w:val="24"/>
        </w:rPr>
        <w:t xml:space="preserve">	(1)</w:t>
      </w:r>
    </w:p>
    <w:p>
      <w:pPr>
        <w:keepNext/>
        <w:spacing w:after="0" w:before="0" w:line="480"/>
        <w:jc w:val="left"/>
      </w:pPr>
      <w:r>
        <w:rPr>
          <w:rFonts w:ascii="Times New Roman" w:cs="Times New Roman" w:eastAsia="Times New Roman" w:hAnsi="Times New Roman"/>
          <w:b/>
          <w:bCs/>
          <w:sz w:val="24"/>
          <w:szCs w:val="24"/>
        </w:rPr>
        <w:t xml:space="preserve">Baseline Gate</w:t>
      </w:r>
    </w:p>
    <w:p>
      <w:pPr>
        <w:spacing w:after="0" w:before="0" w:line="480"/>
        <w:ind w:firstLine="720"/>
        <w:jc w:val="left"/>
      </w:pPr>
      <w:r>
        <w:rPr>
          <w:rFonts w:ascii="Times New Roman" w:cs="Times New Roman" w:eastAsia="Times New Roman" w:hAnsi="Times New Roman"/>
          <w:sz w:val="24"/>
          <w:szCs w:val="24"/>
        </w:rPr>
        <w:t xml:space="preserve">Simple baselines can match or beat complex forecasters (Zeng et al., 2023), and omitting them is a recognised evaluation pitfall (Hewamalage et al., 2023). After training, the system therefore computes two naive forecasts from the same input windows: persistence, which repeats the last reading, and the window mean, which repeats the average of the input window. For each sensor it compares the mean absolute error (MAE) of the LSTM over the whole horizon with that of the better baseline, denoted base, on the test windows.</w:t>
      </w:r>
    </w:p>
    <w:p>
      <w:pPr>
        <w:tabs>
          <w:tab w:val="center" w:pos="4680"/>
          <w:tab w:val="right" w:pos="9360"/>
        </w:tabs>
        <w:spacing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G(s) = 100 × ( MAE</w:t>
      </w:r>
      <w:r>
        <w:rPr>
          <w:rFonts w:ascii="Times New Roman" w:cs="Times New Roman" w:eastAsia="Times New Roman" w:hAnsi="Times New Roman"/>
          <w:i/>
          <w:iCs/>
          <w:sz w:val="24"/>
          <w:szCs w:val="24"/>
          <w:vertAlign w:val="subscript"/>
        </w:rPr>
        <w:t xml:space="preserve">base</w:t>
      </w:r>
      <w:r>
        <w:rPr>
          <w:rFonts w:ascii="Times New Roman" w:cs="Times New Roman" w:eastAsia="Times New Roman" w:hAnsi="Times New Roman"/>
          <w:i/>
          <w:iCs/>
          <w:sz w:val="24"/>
          <w:szCs w:val="24"/>
        </w:rPr>
        <w:t xml:space="preserve">(s) − MAE</w:t>
      </w:r>
      <w:r>
        <w:rPr>
          <w:rFonts w:ascii="Times New Roman" w:cs="Times New Roman" w:eastAsia="Times New Roman" w:hAnsi="Times New Roman"/>
          <w:i/>
          <w:iCs/>
          <w:sz w:val="24"/>
          <w:szCs w:val="24"/>
          <w:vertAlign w:val="subscript"/>
        </w:rPr>
        <w:t xml:space="preserve">LSTM</w:t>
      </w:r>
      <w:r>
        <w:rPr>
          <w:rFonts w:ascii="Times New Roman" w:cs="Times New Roman" w:eastAsia="Times New Roman" w:hAnsi="Times New Roman"/>
          <w:i/>
          <w:iCs/>
          <w:sz w:val="24"/>
          <w:szCs w:val="24"/>
        </w:rPr>
        <w:t xml:space="preserve">(s) ) / MAE</w:t>
      </w:r>
      <w:r>
        <w:rPr>
          <w:rFonts w:ascii="Times New Roman" w:cs="Times New Roman" w:eastAsia="Times New Roman" w:hAnsi="Times New Roman"/>
          <w:i/>
          <w:iCs/>
          <w:sz w:val="24"/>
          <w:szCs w:val="24"/>
          <w:vertAlign w:val="subscript"/>
        </w:rPr>
        <w:t xml:space="preserve">base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(2)</w:t>
      </w:r>
    </w:p>
    <w:p>
      <w:pPr>
        <w:spacing w:after="0" w:before="0" w:line="480"/>
        <w:ind w:firstLine="720"/>
        <w:jc w:val="left"/>
      </w:pPr>
      <w:r>
        <w:rPr>
          <w:rFonts w:ascii="Times New Roman" w:cs="Times New Roman" w:eastAsia="Times New Roman" w:hAnsi="Times New Roman"/>
          <w:sz w:val="24"/>
          <w:szCs w:val="24"/>
        </w:rPr>
        <w:t xml:space="preserve">A sensor is marked informative only when G(s) is at least 5%. The result is stored with the model and travels with every forecast: sensors that fail the gate are labelled level estimate only. This design responds to the call for trust in LLM-assisted time-series analysis (Jin et al., 2024b) and to the observation that validation of RAG systems is only feasible during operation (Barnett et al., 2024).</w:t>
      </w:r>
    </w:p>
    <w:p>
      <w:pPr>
        <w:keepNext/>
        <w:spacing w:after="0" w:before="0" w:line="480"/>
        <w:jc w:val="left"/>
      </w:pPr>
      <w:r>
        <w:rPr>
          <w:rFonts w:ascii="Times New Roman" w:cs="Times New Roman" w:eastAsia="Times New Roman" w:hAnsi="Times New Roman"/>
          <w:b/>
          <w:bCs/>
          <w:sz w:val="24"/>
          <w:szCs w:val="24"/>
        </w:rPr>
        <w:t xml:space="preserve">Anomaly Screen</w:t>
      </w:r>
    </w:p>
    <w:p>
      <w:pPr>
        <w:spacing w:after="0" w:before="0" w:line="480"/>
        <w:ind w:firstLine="720"/>
        <w:jc w:val="left"/>
      </w:pPr>
      <w:r>
        <w:rPr>
          <w:rFonts w:ascii="Times New Roman" w:cs="Times New Roman" w:eastAsia="Times New Roman" w:hAnsi="Times New Roman"/>
          <w:sz w:val="24"/>
          <w:szCs w:val="24"/>
        </w:rPr>
        <w:t xml:space="preserve">The anomaly screen is an LSTM autoencoder of the reconstruction-based family (Yahya et al., 2025; Zamanzadeh Darban et al., 2024). The encoder has LSTM layers of 32 and 16 units and the decoder mirrors it. It is trained to reconstruct windows of 24 consecutive readings, and the anomaly score of a window is its mean absolute reconstruction error in scaled units. Following the practice of deriving the threshold from reconstruction error on normal data (Githinji &amp; Maina, 2023; Wei et al., 2023), the threshold τ is the 0.99 quantile of the score on held-out validation windows, and a separate threshold is stored for each sensor so that the screen can name the sensors that look unusual.</w:t>
      </w:r>
    </w:p>
    <w:p>
      <w:pPr>
        <w:tabs>
          <w:tab w:val="center" w:pos="4680"/>
          <w:tab w:val="right" w:pos="9360"/>
        </w:tabs>
        <w:spacing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 = mean |W − AE(W)|,   flag W if a(W) &gt; τ = Q</w:t>
      </w:r>
      <w:r>
        <w:rPr>
          <w:rFonts w:ascii="Times New Roman" w:cs="Times New Roman" w:eastAsia="Times New Roman" w:hAnsi="Times New Roman"/>
          <w:i/>
          <w:iCs/>
          <w:sz w:val="24"/>
          <w:szCs w:val="24"/>
          <w:vertAlign w:val="subscript"/>
        </w:rPr>
        <w:t xml:space="preserve">0.99</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(3)</w:t>
      </w:r>
    </w:p>
    <w:p>
      <w:pPr>
        <w:spacing w:after="0" w:before="0" w:line="480"/>
        <w:ind w:firstLine="720"/>
        <w:jc w:val="left"/>
      </w:pPr>
      <w:r>
        <w:rPr>
          <w:rFonts w:ascii="Times New Roman" w:cs="Times New Roman" w:eastAsia="Times New Roman" w:hAnsi="Times New Roman"/>
          <w:sz w:val="24"/>
          <w:szCs w:val="24"/>
        </w:rPr>
        <w:t xml:space="preserve">The screen runs on raw readings rather than on the cleaned series, because the values that the trend analysis sets aside as spikes are exactly what it should see. A dedicated detector is used because current evidence does not show that LLMs detect subtle anomalies reliably (Zhou &amp; Yu, 2025).</w:t>
      </w:r>
    </w:p>
    <w:p>
      <w:pPr>
        <w:keepNext/>
        <w:spacing w:after="0" w:before="0" w:line="480"/>
        <w:jc w:val="left"/>
      </w:pPr>
      <w:r>
        <w:rPr>
          <w:rFonts w:ascii="Times New Roman" w:cs="Times New Roman" w:eastAsia="Times New Roman" w:hAnsi="Times New Roman"/>
          <w:b/>
          <w:bCs/>
          <w:sz w:val="24"/>
          <w:szCs w:val="24"/>
        </w:rPr>
        <w:t xml:space="preserve">Crop Recommendation</w:t>
      </w:r>
    </w:p>
    <w:p>
      <w:pPr>
        <w:spacing w:after="0" w:before="0" w:line="480"/>
        <w:ind w:firstLine="720"/>
        <w:jc w:val="left"/>
      </w:pPr>
      <w:r>
        <w:rPr>
          <w:rFonts w:ascii="Times New Roman" w:cs="Times New Roman" w:eastAsia="Times New Roman" w:hAnsi="Times New Roman"/>
          <w:sz w:val="24"/>
          <w:szCs w:val="24"/>
        </w:rPr>
        <w:t xml:space="preserve">The crop model classifies a window of 24 readings into one of seven crops. It combines convolutional layers, a bidirectional LSTM and multi-head attention (176,263 parameters), in line with hybrid sequence classifiers for soil suitability (Srivarshini et al., 2025). Missing or out-of-range values are replaced by a training-set imputer, and the response reports how many values were imputed so that a prediction built largely on estimated values is shown as tentative. Because high accuracies in this literature are often obtained on a small public dataset (Dey et al., 2024), the model score is presented as a score and not as a calibrated probability of success.</w:t>
      </w:r>
    </w:p>
    <w:p>
      <w:pPr>
        <w:keepNext/>
        <w:spacing w:after="0" w:before="0" w:line="480"/>
        <w:jc w:val="center"/>
      </w:pPr>
      <w:r>
        <w:rPr>
          <w:rFonts w:ascii="Times New Roman" w:cs="Times New Roman" w:eastAsia="Times New Roman" w:hAnsi="Times New Roman"/>
          <w:b/>
          <w:bCs/>
          <w:sz w:val="24"/>
          <w:szCs w:val="24"/>
        </w:rPr>
        <w:t xml:space="preserve">RAG Subsystem</w:t>
      </w:r>
    </w:p>
    <w:p>
      <w:pPr>
        <w:spacing w:after="0" w:before="0" w:line="480"/>
        <w:ind w:firstLine="720"/>
        <w:jc w:val="left"/>
      </w:pPr>
      <w:r>
        <w:rPr>
          <w:rFonts w:ascii="Times New Roman" w:cs="Times New Roman" w:eastAsia="Times New Roman" w:hAnsi="Times New Roman"/>
          <w:sz w:val="24"/>
          <w:szCs w:val="24"/>
        </w:rPr>
        <w:t xml:space="preserve">The knowledge base holds 1,145 agronomic facts extracted from 19 source documents, including guides on maize, cassava and rice production and on soil health. Each fact is stored with its source and page in a ChromaDB collection, a vector database of the kind surveyed by Pan et al. (2024), and embedded with a sentence-embedding model chosen in the knowledge that no single model is best for all tasks (Muennighoff et al., 2023).</w:t>
      </w:r>
    </w:p>
    <w:p>
      <w:pPr>
        <w:spacing w:after="0" w:before="0" w:line="480"/>
        <w:ind w:firstLine="720"/>
        <w:jc w:val="left"/>
      </w:pPr>
      <w:r>
        <w:rPr>
          <w:rFonts w:ascii="Times New Roman" w:cs="Times New Roman" w:eastAsia="Times New Roman" w:hAnsi="Times New Roman"/>
          <w:sz w:val="24"/>
          <w:szCs w:val="24"/>
        </w:rPr>
        <w:t xml:space="preserve">Retrieval is hybrid, because dense and keyword search complement each other (Sawarkar et al., 2024). A dense search by cosine similarity and a BM25 keyword search each return candidates, and the two lists are merged by reciprocal rank fusion with the conventional constant k = 60; the sensitivity of this constant noted by Bruch et al. (2023) is a limitation we return to in the discussion.</w:t>
      </w:r>
    </w:p>
    <w:p>
      <w:pPr>
        <w:tabs>
          <w:tab w:val="center" w:pos="4680"/>
          <w:tab w:val="right" w:pos="9360"/>
        </w:tabs>
        <w:spacing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RRF(d) = 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1 / ( k + rank</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(d) ),   k = 60</w:t>
      </w:r>
      <w:r>
        <w:rPr>
          <w:rFonts w:ascii="Times New Roman" w:cs="Times New Roman" w:eastAsia="Times New Roman" w:hAnsi="Times New Roman"/>
          <w:sz w:val="24"/>
          <w:szCs w:val="24"/>
        </w:rPr>
        <w:t xml:space="preserve">	(4)</w:t>
      </w:r>
    </w:p>
    <w:p>
      <w:pPr>
        <w:spacing w:after="0" w:before="0" w:line="480"/>
        <w:ind w:firstLine="720"/>
        <w:jc w:val="left"/>
      </w:pPr>
      <w:r>
        <w:rPr>
          <w:rFonts w:ascii="Times New Roman" w:cs="Times New Roman" w:eastAsia="Times New Roman" w:hAnsi="Times New Roman"/>
          <w:sz w:val="24"/>
          <w:szCs w:val="24"/>
        </w:rPr>
        <w:t xml:space="preserve">A cross-encoder then scores each candidate against the query and the three best are kept, because reranking improves the ordering of candidates (Sun et al., 2023) and LLMs use evidence best when it is placed prominently in the context (Liu et al., 2024). Passages whose rerank score falls below a threshold are discarded, so that the model is told plainly when nothing relevant was found; this guards against the weakness of LLMs at rejecting irrelevant context (J. Chen et al., 2024).</w:t>
      </w:r>
    </w:p>
    <w:p>
      <w:pPr>
        <w:spacing w:after="0" w:before="0" w:line="480"/>
        <w:ind w:firstLine="720"/>
        <w:jc w:val="left"/>
      </w:pPr>
      <w:r>
        <w:rPr>
          <w:rFonts w:ascii="Times New Roman" w:cs="Times New Roman" w:eastAsia="Times New Roman" w:hAnsi="Times New Roman"/>
          <w:sz w:val="24"/>
          <w:szCs w:val="24"/>
        </w:rPr>
        <w:t xml:space="preserve">Generation uses an instruction set that forbids inventing readings, crops, causes or application rates and requires uncertainty to be stated, addressing the hallucination risks described for generation systems (Huang et al., 2025; Ji et al., 2023). Requests go to a primary hosted model; rate limits, timeouts and server errors trigger up to three attempts and then a second provider, and a small local model is the final fallback. Outages and incidents of public LLM services have been characterised empirically (Chu et al., 2025), cascades of models are an established way to reduce cost while preserving quality (L. Chen et al., 2024), and small language models have been benchmarked for on-device inference (Lu et al., 2024).</w:t>
      </w:r>
    </w:p>
    <w:p>
      <w:pPr>
        <w:keepNext/>
        <w:spacing w:after="0" w:before="0" w:line="480"/>
        <w:jc w:val="center"/>
      </w:pPr>
      <w:r>
        <w:rPr>
          <w:rFonts w:ascii="Times New Roman" w:cs="Times New Roman" w:eastAsia="Times New Roman" w:hAnsi="Times New Roman"/>
          <w:b/>
          <w:bCs/>
          <w:sz w:val="24"/>
          <w:szCs w:val="24"/>
        </w:rPr>
        <w:t xml:space="preserve">How the LSTM and RAG Subsystems Communicate</w:t>
      </w:r>
    </w:p>
    <w:p>
      <w:pPr>
        <w:keepNext/>
        <w:spacing w:after="0" w:before="0" w:line="480"/>
        <w:jc w:val="left"/>
      </w:pPr>
      <w:r>
        <w:rPr>
          <w:rFonts w:ascii="Times New Roman" w:cs="Times New Roman" w:eastAsia="Times New Roman" w:hAnsi="Times New Roman"/>
          <w:b/>
          <w:bCs/>
          <w:sz w:val="24"/>
          <w:szCs w:val="24"/>
        </w:rPr>
        <w:t xml:space="preserve">Figure 2</w:t>
      </w:r>
    </w:p>
    <w:p>
      <w:pPr>
        <w:keepNext/>
        <w:spacing w:after="0" w:before="0" w:line="480"/>
        <w:jc w:val="left"/>
      </w:pPr>
      <w:r>
        <w:rPr>
          <w:rFonts w:ascii="Times New Roman" w:cs="Times New Roman" w:eastAsia="Times New Roman" w:hAnsi="Times New Roman"/>
          <w:i/>
          <w:iCs/>
          <w:sz w:val="24"/>
          <w:szCs w:val="24"/>
        </w:rPr>
        <w:t xml:space="preserve">Request flow</w:t>
      </w:r>
    </w:p>
    <w:p>
      <w:pPr>
        <w:keepNext/>
        <w:spacing w:after="120" w:before="120"/>
        <w:jc w:val="center"/>
      </w:pPr>
      <w:r>
        <w:drawing>
          <wp:inline distT="0" distB="0" distL="0" distR="0">
            <wp:extent cx="5667375" cy="3714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714750"/>
                    </a:xfrm>
                    <a:prstGeom prst="rect">
                      <a:avLst/>
                    </a:prstGeom>
                  </pic:spPr>
                </pic:pic>
              </a:graphicData>
            </a:graphic>
          </wp:inline>
        </w:drawing>
      </w:r>
    </w:p>
    <w:p>
      <w:pPr>
        <w:spacing w:after="0" w:before="0" w:line="480"/>
        <w:jc w:val="left"/>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LSTM findings reach the language model as prompt evidence (step 7) and also determine what knowledge is retrieved (steps 5 and 6).</w:t>
      </w:r>
    </w:p>
    <w:p>
      <w:pPr>
        <w:spacing w:after="0" w:before="0" w:line="480"/>
        <w:ind w:firstLine="720"/>
        <w:jc w:val="left"/>
      </w:pPr>
      <w:r>
        <w:rPr>
          <w:rFonts w:ascii="Times New Roman" w:cs="Times New Roman" w:eastAsia="Times New Roman" w:hAnsi="Times New Roman"/>
          <w:sz w:val="24"/>
          <w:szCs w:val="24"/>
        </w:rPr>
        <w:t xml:space="preserve">Figure 2 shows one request. The integration follows the tool-oriented pattern identified by Zhang et al. (2024): the numerical models do the numerical work, and the language model reasons over their results. The subsystems communicate through three channels.</w:t>
      </w:r>
    </w:p>
    <w:p>
      <w:pPr>
        <w:keepNext/>
        <w:spacing w:after="0" w:before="0" w:line="480"/>
        <w:jc w:val="left"/>
      </w:pPr>
      <w:r>
        <w:rPr>
          <w:rFonts w:ascii="Times New Roman" w:cs="Times New Roman" w:eastAsia="Times New Roman" w:hAnsi="Times New Roman"/>
          <w:b/>
          <w:bCs/>
          <w:sz w:val="24"/>
          <w:szCs w:val="24"/>
        </w:rPr>
        <w:t xml:space="preserve">Channel 1: Evidence in the Prompt</w:t>
      </w:r>
    </w:p>
    <w:p>
      <w:pPr>
        <w:spacing w:after="0" w:before="0" w:line="480"/>
        <w:ind w:firstLine="720"/>
        <w:jc w:val="left"/>
      </w:pPr>
      <w:r>
        <w:rPr>
          <w:rFonts w:ascii="Times New Roman" w:cs="Times New Roman" w:eastAsia="Times New Roman" w:hAnsi="Times New Roman"/>
          <w:sz w:val="24"/>
          <w:szCs w:val="24"/>
        </w:rPr>
        <w:t xml:space="preserve">For every node under analysis the backend assembles four labelled blocks: the live snapshot, the observed history, the future forecast, and a block named LSTM model evidence. The last block contains, per node, the forecast status and trends, the lists of informative and level-estimate-only sensors from the baseline gate, any sensor forecast to leave the crop's reference range, the anomaly flag with the sensors involved, and the recommended crop. Keeping observed history and forecasts in separate blocks prevents predictions from being reported as events, and compact, consistently ordered JSON is used because the serialisation of structured data affects how well LLMs read it (Sui et al., 2024). Supplying domain context with sensor-derived values is what improved LLM performance in comparable sensor settings (Kim et al., 2024).</w:t>
      </w:r>
    </w:p>
    <w:p>
      <w:pPr>
        <w:keepNext/>
        <w:spacing w:after="0" w:before="0" w:line="480"/>
        <w:jc w:val="left"/>
      </w:pPr>
      <w:r>
        <w:rPr>
          <w:rFonts w:ascii="Times New Roman" w:cs="Times New Roman" w:eastAsia="Times New Roman" w:hAnsi="Times New Roman"/>
          <w:b/>
          <w:bCs/>
          <w:sz w:val="24"/>
          <w:szCs w:val="24"/>
        </w:rPr>
        <w:t xml:space="preserve">Table 1</w:t>
      </w:r>
    </w:p>
    <w:p>
      <w:pPr>
        <w:keepNext/>
        <w:spacing w:after="0" w:before="0" w:line="480"/>
        <w:jc w:val="left"/>
      </w:pPr>
      <w:r>
        <w:rPr>
          <w:rFonts w:ascii="Times New Roman" w:cs="Times New Roman" w:eastAsia="Times New Roman" w:hAnsi="Times New Roman"/>
          <w:i/>
          <w:iCs/>
          <w:sz w:val="24"/>
          <w:szCs w:val="24"/>
        </w:rPr>
        <w:t xml:space="preserve">What each LSTM model contributes to the prompt and to retrieval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22"/>
                <w:szCs w:val="22"/>
              </w:rPr>
              <w:t xml:space="preserve">Model</w:t>
            </w:r>
          </w:p>
        </w:tc>
        <w:tc>
          <w:tcPr>
            <w:tcW w:type="dxa" w:w="43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22"/>
                <w:szCs w:val="22"/>
              </w:rPr>
              <w:t xml:space="preserve">Evidence in the prompt</w:t>
            </w:r>
          </w:p>
        </w:tc>
        <w:tc>
          <w:tcPr>
            <w:tcW w:type="dxa" w:w="356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22"/>
                <w:szCs w:val="22"/>
              </w:rPr>
              <w:t xml:space="preserve">Effect on retrieval</w:t>
            </w:r>
          </w:p>
        </w:tc>
      </w:tr>
      <w:tr>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Forecaster</w:t>
            </w:r>
          </w:p>
        </w:tc>
        <w:tc>
          <w:tcPr>
            <w:tcW w:type="dxa" w:w="43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Estimates at four horizons with intervals; per-sensor reliability label; sensors forecast to leave the crop range</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Adds, for example, “low moisture management” for a forecast risk</w:t>
            </w:r>
          </w:p>
        </w:tc>
      </w:tr>
      <w:tr>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Anomaly screen</w:t>
            </w:r>
          </w:p>
        </w:tc>
        <w:tc>
          <w:tcPr>
            <w:tcW w:type="dxa" w:w="43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Flag, severity, sensors involved, plain interpretation</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Adds “sensor reading reliability” when flagged</w:t>
            </w:r>
          </w:p>
        </w:tc>
      </w:tr>
      <w:tr>
        <w:tc>
          <w:tcPr>
            <w:tcW w:type="dxa" w:w="15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Crop model</w:t>
            </w:r>
          </w:p>
        </w:tc>
        <w:tc>
          <w:tcPr>
            <w:tcW w:type="dxa" w:w="43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Recommended crop, model score, planted crop</w:t>
            </w:r>
          </w:p>
        </w:tc>
        <w:tc>
          <w:tcPr>
            <w:tcW w:type="dxa" w:w="356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None; shown as a strategic note</w:t>
            </w:r>
          </w:p>
        </w:tc>
      </w:tr>
    </w:tbl>
    <w:p>
      <w:pPr>
        <w:spacing w:after="0" w:before="0" w:line="480"/>
        <w:jc w:val="left"/>
      </w:pPr>
      <w:r>
        <w:rPr>
          <w:rFonts w:ascii="Times New Roman" w:cs="Times New Roman" w:eastAsia="Times New Roman" w:hAnsi="Times New Roman"/>
          <w:sz w:val="24"/>
          <w:szCs w:val="24"/>
        </w:rPr>
        <w:t xml:space="preserve"/>
      </w:r>
    </w:p>
    <w:p>
      <w:pPr>
        <w:keepNext/>
        <w:spacing w:after="0" w:before="0" w:line="480"/>
        <w:jc w:val="left"/>
      </w:pPr>
      <w:r>
        <w:rPr>
          <w:rFonts w:ascii="Times New Roman" w:cs="Times New Roman" w:eastAsia="Times New Roman" w:hAnsi="Times New Roman"/>
          <w:b/>
          <w:bCs/>
          <w:sz w:val="24"/>
          <w:szCs w:val="24"/>
        </w:rPr>
        <w:t xml:space="preserve">Channel 2: Condition-Aware Retrieval</w:t>
      </w:r>
    </w:p>
    <w:p>
      <w:pPr>
        <w:spacing w:after="0" w:before="0" w:line="480"/>
        <w:ind w:firstLine="720"/>
        <w:jc w:val="left"/>
      </w:pPr>
      <w:r>
        <w:rPr>
          <w:rFonts w:ascii="Times New Roman" w:cs="Times New Roman" w:eastAsia="Times New Roman" w:hAnsi="Times New Roman"/>
          <w:sz w:val="24"/>
          <w:szCs w:val="24"/>
        </w:rPr>
        <w:t xml:space="preserve">A request such as “analyse NODE_05” says nothing about what is wrong, so retrieving on the question alone returns generic text; RAG systems are known to depend on the relevance of what is retrieved (Asai et al., 2024; Yan et al., 2024). After the evidence is assembled, the backend therefore composes a second query from the planted crop, the conditions found by the rule-based screening, the forecast risks, the detected events, declining nutrient trends and any anomaly flag. The knowledge base is searched again with this query, the results are merged with those of the first search, and the four best-scoring distinct facts are kept. This uses domain findings to guide retrieval, an idea related to the domain knowledge layer of Ravindran et al. (2026).</w:t>
      </w:r>
    </w:p>
    <w:p>
      <w:pPr>
        <w:keepNext/>
        <w:spacing w:after="0" w:before="0" w:line="480"/>
        <w:jc w:val="left"/>
      </w:pPr>
      <w:r>
        <w:rPr>
          <w:rFonts w:ascii="Times New Roman" w:cs="Times New Roman" w:eastAsia="Times New Roman" w:hAnsi="Times New Roman"/>
          <w:b/>
          <w:bCs/>
          <w:sz w:val="24"/>
          <w:szCs w:val="24"/>
        </w:rPr>
        <w:t xml:space="preserve">Channel 3: Tool Calls</w:t>
      </w:r>
    </w:p>
    <w:p>
      <w:pPr>
        <w:spacing w:after="0" w:before="0" w:line="480"/>
        <w:ind w:firstLine="720"/>
        <w:jc w:val="left"/>
      </w:pPr>
      <w:r>
        <w:rPr>
          <w:rFonts w:ascii="Times New Roman" w:cs="Times New Roman" w:eastAsia="Times New Roman" w:hAnsi="Times New Roman"/>
          <w:sz w:val="24"/>
          <w:szCs w:val="24"/>
        </w:rPr>
        <w:t xml:space="preserve">The language model may also request the temporal analysis of another node through a function call, in the manner of tool-using language models (Schick et al., 2023; Yao et al., 2023). The tool returns the same structure as the automatic path, so evidence obtained on demand carries the same reliability labels.</w:t>
      </w:r>
    </w:p>
    <w:p>
      <w:pPr>
        <w:keepNext/>
        <w:spacing w:after="0" w:before="0" w:line="480"/>
        <w:jc w:val="left"/>
      </w:pPr>
      <w:r>
        <w:rPr>
          <w:rFonts w:ascii="Times New Roman" w:cs="Times New Roman" w:eastAsia="Times New Roman" w:hAnsi="Times New Roman"/>
          <w:b/>
          <w:bCs/>
          <w:sz w:val="24"/>
          <w:szCs w:val="24"/>
        </w:rPr>
        <w:t xml:space="preserve">Guardrails on Model Output</w:t>
      </w:r>
    </w:p>
    <w:p>
      <w:pPr>
        <w:spacing w:after="0" w:before="0" w:line="480"/>
        <w:ind w:firstLine="720"/>
        <w:jc w:val="left"/>
      </w:pPr>
      <w:r>
        <w:rPr>
          <w:rFonts w:ascii="Times New Roman" w:cs="Times New Roman" w:eastAsia="Times New Roman" w:hAnsi="Times New Roman"/>
          <w:sz w:val="24"/>
          <w:szCs w:val="24"/>
        </w:rPr>
        <w:t xml:space="preserve">The instructions bound how each kind of model output may be used. An anomaly flag is a reason to check the sensor and the field and never a diagnosis; a forecast marked level estimate only is weak evidence and may not justify an action on its own; a crop recommendation is a strategic comparison and not a sign that the present crop is failing. These rules reflect the recommendation that expert oversight and caution accompany LLM advice to farmers (Ibrahim et al., 2024; Tzachor et al., 2023) and the concern about agricultural misinformation (De Clercq et al., 2024). When no language model is available, a rule-based report is assembled from the same evidence and labelled as such.</w:t>
      </w:r>
    </w:p>
    <w:p>
      <w:pPr>
        <w:keepNext/>
        <w:spacing w:after="0" w:before="0" w:line="480"/>
        <w:jc w:val="center"/>
      </w:pPr>
      <w:r>
        <w:rPr>
          <w:rFonts w:ascii="Times New Roman" w:cs="Times New Roman" w:eastAsia="Times New Roman" w:hAnsi="Times New Roman"/>
          <w:b/>
          <w:bCs/>
          <w:sz w:val="24"/>
          <w:szCs w:val="24"/>
        </w:rPr>
        <w:t xml:space="preserve">Implementation and Evaluation</w:t>
      </w:r>
    </w:p>
    <w:p>
      <w:pPr>
        <w:keepNext/>
        <w:spacing w:after="0" w:before="0" w:line="480"/>
        <w:jc w:val="left"/>
      </w:pPr>
      <w:r>
        <w:rPr>
          <w:rFonts w:ascii="Times New Roman" w:cs="Times New Roman" w:eastAsia="Times New Roman" w:hAnsi="Times New Roman"/>
          <w:b/>
          <w:bCs/>
          <w:sz w:val="24"/>
          <w:szCs w:val="24"/>
        </w:rPr>
        <w:t xml:space="preserve">Data</w:t>
      </w:r>
    </w:p>
    <w:p>
      <w:pPr>
        <w:spacing w:after="0" w:before="0" w:line="480"/>
        <w:ind w:firstLine="720"/>
        <w:jc w:val="left"/>
      </w:pPr>
      <w:r>
        <w:rPr>
          <w:rFonts w:ascii="Times New Roman" w:cs="Times New Roman" w:eastAsia="Times New Roman" w:hAnsi="Times New Roman"/>
          <w:sz w:val="24"/>
          <w:szCs w:val="24"/>
        </w:rPr>
        <w:t xml:space="preserve">At the time of training the simulator table held 5,357 readings at a median interval of 1.02 minutes, and the hardware log held 120 readings from two physical nodes at about three-minute intervals with frequent gaps. The simulated readings available then were drawn independently at each step within a crop-specific range; their lag-1 autocorrelation was below 0.36 for every sensor, so they carried almost no temporal pattern. This matters for interpreting the results, and the simulator has since been made stateful, with a daily temperature cycle, gradual drying with irrigation and rain events, and slowly drifting nutrients.</w:t>
      </w:r>
    </w:p>
    <w:p>
      <w:pPr>
        <w:keepNext/>
        <w:spacing w:after="0" w:before="0" w:line="480"/>
        <w:jc w:val="left"/>
      </w:pPr>
      <w:r>
        <w:rPr>
          <w:rFonts w:ascii="Times New Roman" w:cs="Times New Roman" w:eastAsia="Times New Roman" w:hAnsi="Times New Roman"/>
          <w:b/>
          <w:bCs/>
          <w:sz w:val="24"/>
          <w:szCs w:val="24"/>
        </w:rPr>
        <w:t xml:space="preserve">Forecaster on Deployment Telemetry</w:t>
      </w:r>
    </w:p>
    <w:p>
      <w:pPr>
        <w:spacing w:after="0" w:before="0" w:line="480"/>
        <w:ind w:firstLine="720"/>
        <w:jc w:val="left"/>
      </w:pPr>
      <w:r>
        <w:rPr>
          <w:rFonts w:ascii="Times New Roman" w:cs="Times New Roman" w:eastAsia="Times New Roman" w:hAnsi="Times New Roman"/>
          <w:sz w:val="24"/>
          <w:szCs w:val="24"/>
        </w:rPr>
        <w:t xml:space="preserve">The deployment telemetry yielded 764 training, 136 validation and 86 test windows. Table 2 reports test error at the final horizon and Table 3 reports the baseline gate. Coefficients of determination between 0.15 and 0.87 would suggest a useful model, but they mainly reflect level differences between nodes growing different crops. Against the better naive baseline, which was the window mean for every sensor, the gain of the LSTM in horizon-averaged MAE ranged from −6.8% to +1.9%, so no sensor passed the 5% gate; the system labels all six forecasts as level estimates. Validation selected the absolute formulation (scaled validation MAE 0.117 against 0.131 for the change-based one), which is expected when consecutive readings are unrelated. The contrast between a high coefficient of determination and no gain over a naive baseline is the pitfall described by Hewamalage et al. (2023), and modest scores are also what field deployments report (Maniam et al., 2026; Wang &amp; Zha, 2024).</w:t>
      </w:r>
    </w:p>
    <w:p>
      <w:pPr>
        <w:keepNext/>
        <w:spacing w:after="0" w:before="0" w:line="480"/>
        <w:jc w:val="left"/>
      </w:pPr>
      <w:r>
        <w:rPr>
          <w:rFonts w:ascii="Times New Roman" w:cs="Times New Roman" w:eastAsia="Times New Roman" w:hAnsi="Times New Roman"/>
          <w:b/>
          <w:bCs/>
          <w:sz w:val="24"/>
          <w:szCs w:val="24"/>
        </w:rPr>
        <w:t xml:space="preserve">Table 2</w:t>
      </w:r>
    </w:p>
    <w:p>
      <w:pPr>
        <w:keepNext/>
        <w:spacing w:after="0" w:before="0" w:line="480"/>
        <w:jc w:val="left"/>
      </w:pPr>
      <w:r>
        <w:rPr>
          <w:rFonts w:ascii="Times New Roman" w:cs="Times New Roman" w:eastAsia="Times New Roman" w:hAnsi="Times New Roman"/>
          <w:i/>
          <w:iCs/>
          <w:sz w:val="24"/>
          <w:szCs w:val="24"/>
        </w:rPr>
        <w:t xml:space="preserve">Forecaster test error at the 48-step horizon (deployment telemetry)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rPr>
          <w:tblHeader/>
        </w:trPr>
        <w:tc>
          <w:tcPr>
            <w:tcW w:type="dxa" w:w="32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22"/>
                <w:szCs w:val="22"/>
              </w:rPr>
              <w:t xml:space="preserve">Sensor</w:t>
            </w:r>
          </w:p>
        </w:tc>
        <w:tc>
          <w:tcPr>
            <w:tcW w:type="dxa" w:w="19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MAE</w:t>
            </w:r>
          </w:p>
        </w:tc>
        <w:tc>
          <w:tcPr>
            <w:tcW w:type="dxa" w:w="19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R²</w:t>
            </w:r>
          </w:p>
        </w:tc>
        <w:tc>
          <w:tcPr>
            <w:tcW w:type="dxa" w:w="236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90% interval (±)</w:t>
            </w:r>
          </w:p>
        </w:tc>
      </w:tr>
      <w:tr>
        <w:tc>
          <w:tcPr>
            <w:tcW w:type="dxa" w:w="32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Nitrogen (mg/kg)</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8.30</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0.563</w:t>
            </w:r>
          </w:p>
        </w:tc>
        <w:tc>
          <w:tcPr>
            <w:tcW w:type="dxa" w:w="23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17.39</w:t>
            </w:r>
          </w:p>
        </w:tc>
      </w:tr>
      <w:tr>
        <w:tc>
          <w:tcPr>
            <w:tcW w:type="dxa" w:w="32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Phosphorus (mg/kg)</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5.11</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0.150</w:t>
            </w:r>
          </w:p>
        </w:tc>
        <w:tc>
          <w:tcPr>
            <w:tcW w:type="dxa" w:w="23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8.83</w:t>
            </w:r>
          </w:p>
        </w:tc>
      </w:tr>
      <w:tr>
        <w:tc>
          <w:tcPr>
            <w:tcW w:type="dxa" w:w="32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Potassium (mg/kg)</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11.63</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0.803</w:t>
            </w:r>
          </w:p>
        </w:tc>
        <w:tc>
          <w:tcPr>
            <w:tcW w:type="dxa" w:w="23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19.44</w:t>
            </w:r>
          </w:p>
        </w:tc>
      </w:tr>
      <w:tr>
        <w:tc>
          <w:tcPr>
            <w:tcW w:type="dxa" w:w="32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Soil moisture (%)</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4.52</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0.866</w:t>
            </w:r>
          </w:p>
        </w:tc>
        <w:tc>
          <w:tcPr>
            <w:tcW w:type="dxa" w:w="23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9.48</w:t>
            </w:r>
          </w:p>
        </w:tc>
      </w:tr>
      <w:tr>
        <w:tc>
          <w:tcPr>
            <w:tcW w:type="dxa" w:w="32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Temperature (°C)</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2.48</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0.186</w:t>
            </w:r>
          </w:p>
        </w:tc>
        <w:tc>
          <w:tcPr>
            <w:tcW w:type="dxa" w:w="23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4.58</w:t>
            </w:r>
          </w:p>
        </w:tc>
      </w:tr>
      <w:tr>
        <w:tc>
          <w:tcPr>
            <w:tcW w:type="dxa" w:w="32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Humidity (%)</w:t>
            </w:r>
          </w:p>
        </w:tc>
        <w:tc>
          <w:tcPr>
            <w:tcW w:type="dxa" w:w="19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5.19</w:t>
            </w:r>
          </w:p>
        </w:tc>
        <w:tc>
          <w:tcPr>
            <w:tcW w:type="dxa" w:w="19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0.562</w:t>
            </w:r>
          </w:p>
        </w:tc>
        <w:tc>
          <w:tcPr>
            <w:tcW w:type="dxa" w:w="236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9.11</w:t>
            </w:r>
          </w:p>
        </w:tc>
      </w:tr>
    </w:tbl>
    <w:p>
      <w:pPr>
        <w:spacing w:after="0" w:before="0" w:line="480"/>
        <w:jc w:val="left"/>
      </w:pPr>
      <w:r>
        <w:rPr>
          <w:rFonts w:ascii="Times New Roman" w:cs="Times New Roman" w:eastAsia="Times New Roman" w:hAnsi="Times New Roman"/>
          <w:sz w:val="24"/>
          <w:szCs w:val="24"/>
        </w:rPr>
        <w:t xml:space="preserve"/>
      </w:r>
    </w:p>
    <w:p>
      <w:pPr>
        <w:keepNext/>
        <w:spacing w:after="0" w:before="0" w:line="480"/>
        <w:jc w:val="left"/>
      </w:pPr>
      <w:r>
        <w:rPr>
          <w:rFonts w:ascii="Times New Roman" w:cs="Times New Roman" w:eastAsia="Times New Roman" w:hAnsi="Times New Roman"/>
          <w:b/>
          <w:bCs/>
          <w:sz w:val="24"/>
          <w:szCs w:val="24"/>
        </w:rPr>
        <w:t xml:space="preserve">Table 3</w:t>
      </w:r>
    </w:p>
    <w:p>
      <w:pPr>
        <w:keepNext/>
        <w:spacing w:after="0" w:before="0" w:line="480"/>
        <w:jc w:val="left"/>
      </w:pPr>
      <w:r>
        <w:rPr>
          <w:rFonts w:ascii="Times New Roman" w:cs="Times New Roman" w:eastAsia="Times New Roman" w:hAnsi="Times New Roman"/>
          <w:i/>
          <w:iCs/>
          <w:sz w:val="24"/>
          <w:szCs w:val="24"/>
        </w:rPr>
        <w:t xml:space="preserve">Baseline gate on test windows: horizon-averaged MAE of the LSTM and two naive forecasts (deployment telemetry)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900"/>
        <w:gridCol w:w="1760"/>
      </w:tblGrid>
      <w:tr>
        <w:trPr>
          <w:tblHeader/>
        </w:trPr>
        <w:tc>
          <w:tcPr>
            <w:tcW w:type="dxa" w:w="24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22"/>
                <w:szCs w:val="22"/>
              </w:rPr>
              <w:t xml:space="preserve">Sensor</w:t>
            </w:r>
          </w:p>
        </w:tc>
        <w:tc>
          <w:tcPr>
            <w:tcW w:type="dxa" w:w="15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LSTM</w:t>
            </w:r>
          </w:p>
        </w:tc>
        <w:tc>
          <w:tcPr>
            <w:tcW w:type="dxa" w:w="18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Persistence</w:t>
            </w:r>
          </w:p>
        </w:tc>
        <w:tc>
          <w:tcPr>
            <w:tcW w:type="dxa" w:w="19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Window mean</w:t>
            </w:r>
          </w:p>
        </w:tc>
        <w:tc>
          <w:tcPr>
            <w:tcW w:type="dxa" w:w="176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Gain over best (%)</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Nitrogen (mg/kg)</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9.39</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12.23</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9.54</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+1.6</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Phosphorus (mg/kg)</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4.94</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6.55</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5.04</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+1.9</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Potassium (mg/kg)</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12.12</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14.95</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11.35</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−6.8</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Soil moisture (%)</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4.82</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6.55</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4.83</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+0.2</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Temperature (°C)</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2.51</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3.24</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2.49</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−0.6</w:t>
            </w:r>
          </w:p>
        </w:tc>
      </w:tr>
      <w:tr>
        <w:tc>
          <w:tcPr>
            <w:tcW w:type="dxa" w:w="24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Humidity (%)</w:t>
            </w:r>
          </w:p>
        </w:tc>
        <w:tc>
          <w:tcPr>
            <w:tcW w:type="dxa" w:w="15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5.36</w:t>
            </w:r>
          </w:p>
        </w:tc>
        <w:tc>
          <w:tcPr>
            <w:tcW w:type="dxa" w:w="18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7.12</w:t>
            </w:r>
          </w:p>
        </w:tc>
        <w:tc>
          <w:tcPr>
            <w:tcW w:type="dxa" w:w="19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5.32</w:t>
            </w:r>
          </w:p>
        </w:tc>
        <w:tc>
          <w:tcPr>
            <w:tcW w:type="dxa" w:w="176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−0.7</w:t>
            </w:r>
          </w:p>
        </w:tc>
      </w:tr>
    </w:tbl>
    <w:p>
      <w:pPr>
        <w:spacing w:after="0" w:before="0" w:line="480"/>
        <w:jc w:val="left"/>
      </w:pPr>
      <w:r>
        <w:rPr>
          <w:rFonts w:ascii="Times New Roman" w:cs="Times New Roman" w:eastAsia="Times New Roman" w:hAnsi="Times New Roman"/>
          <w:sz w:val="24"/>
          <w:szCs w:val="24"/>
        </w:rPr>
        <w:t xml:space="preserve"/>
      </w:r>
    </w:p>
    <w:p>
      <w:pPr>
        <w:keepNext/>
        <w:spacing w:after="0" w:before="0" w:line="480"/>
        <w:jc w:val="left"/>
      </w:pPr>
      <w:r>
        <w:rPr>
          <w:rFonts w:ascii="Times New Roman" w:cs="Times New Roman" w:eastAsia="Times New Roman" w:hAnsi="Times New Roman"/>
          <w:b/>
          <w:bCs/>
          <w:sz w:val="24"/>
          <w:szCs w:val="24"/>
        </w:rPr>
        <w:t xml:space="preserve">Development Experiment on Structured Data</w:t>
      </w:r>
    </w:p>
    <w:p>
      <w:pPr>
        <w:spacing w:after="0" w:before="0" w:line="480"/>
        <w:ind w:firstLine="720"/>
        <w:jc w:val="left"/>
      </w:pPr>
      <w:r>
        <w:rPr>
          <w:rFonts w:ascii="Times New Roman" w:cs="Times New Roman" w:eastAsia="Times New Roman" w:hAnsi="Times New Roman"/>
          <w:sz w:val="24"/>
          <w:szCs w:val="24"/>
        </w:rPr>
        <w:t xml:space="preserve">To test the pipeline on data with temporal structure, two days of output from the stateful simulator (four nodes, one-minute interval) were used in a development run whose artifacts are kept apart from the deployed model. The run produced 7,680 training, 1,544 validation and 1,540 test windows. When the absolute formulation was trained alone, its test coefficients of determination at the final horizon were between 0.68 and 0.99, yet its horizon-averaged MAE was 38% to 453% worse than persistence for every sensor: the network reproduced each node's general level but could not track the current value. With both formulations trained, validation selected the change-from-last-reading formulation (scaled validation MAE 0.025 against 0.093). As Table 4 and Figure 3 show, its test error was within 7% of persistence for five sensors and 10.0% lower for humidity, the only sensor to pass the gate. Persistence is a strong baseline for slowly varying one-minute series over a 48-minute horizon, so parity with it is a substantial improvement over the absolute formulation but not evidence of forecasting skill for the other five sensors. The experiment supports two design decisions: selecting the formulation on validation data at every retraining, and keeping the gate in place.</w:t>
      </w:r>
    </w:p>
    <w:p>
      <w:pPr>
        <w:keepNext/>
        <w:spacing w:after="0" w:before="0" w:line="480"/>
        <w:jc w:val="left"/>
      </w:pPr>
      <w:r>
        <w:rPr>
          <w:rFonts w:ascii="Times New Roman" w:cs="Times New Roman" w:eastAsia="Times New Roman" w:hAnsi="Times New Roman"/>
          <w:b/>
          <w:bCs/>
          <w:sz w:val="24"/>
          <w:szCs w:val="24"/>
        </w:rPr>
        <w:t xml:space="preserve">Table 4</w:t>
      </w:r>
    </w:p>
    <w:p>
      <w:pPr>
        <w:keepNext/>
        <w:spacing w:after="0" w:before="0" w:line="480"/>
        <w:jc w:val="left"/>
      </w:pPr>
      <w:r>
        <w:rPr>
          <w:rFonts w:ascii="Times New Roman" w:cs="Times New Roman" w:eastAsia="Times New Roman" w:hAnsi="Times New Roman"/>
          <w:i/>
          <w:iCs/>
          <w:sz w:val="24"/>
          <w:szCs w:val="24"/>
        </w:rPr>
        <w:t xml:space="preserve">Baseline gate in the development experiment (synthetic structured telemetry)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900"/>
        <w:gridCol w:w="1760"/>
      </w:tblGrid>
      <w:tr>
        <w:trPr>
          <w:tblHeader/>
        </w:trPr>
        <w:tc>
          <w:tcPr>
            <w:tcW w:type="dxa" w:w="24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22"/>
                <w:szCs w:val="22"/>
              </w:rPr>
              <w:t xml:space="preserve">Sensor</w:t>
            </w:r>
          </w:p>
        </w:tc>
        <w:tc>
          <w:tcPr>
            <w:tcW w:type="dxa" w:w="15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LSTM</w:t>
            </w:r>
          </w:p>
        </w:tc>
        <w:tc>
          <w:tcPr>
            <w:tcW w:type="dxa" w:w="18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Persistence</w:t>
            </w:r>
          </w:p>
        </w:tc>
        <w:tc>
          <w:tcPr>
            <w:tcW w:type="dxa" w:w="19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Window mean</w:t>
            </w:r>
          </w:p>
        </w:tc>
        <w:tc>
          <w:tcPr>
            <w:tcW w:type="dxa" w:w="176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22"/>
                <w:szCs w:val="22"/>
              </w:rPr>
              <w:t xml:space="preserve">Gain over best (%)</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Nitrogen (mg/kg)</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1.41</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1.32</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1.67</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−6.7</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Phosphorus (mg/kg)</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0.44</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0.44</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0.62</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+0.1</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Potassium (mg/kg)</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1.19</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1.17</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1.53</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−1.6</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Soil moisture (%)</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2.28</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2.35</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3.29</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+2.7</w:t>
            </w:r>
          </w:p>
        </w:tc>
      </w:tr>
      <w:t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Temperature (°C)</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0.46</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0.44</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0.66</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−5.1</w:t>
            </w:r>
          </w:p>
        </w:tc>
      </w:tr>
      <w:tr>
        <w:tc>
          <w:tcPr>
            <w:tcW w:type="dxa" w:w="24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22"/>
                <w:szCs w:val="22"/>
              </w:rPr>
              <w:t xml:space="preserve">Humidity (%)</w:t>
            </w:r>
          </w:p>
        </w:tc>
        <w:tc>
          <w:tcPr>
            <w:tcW w:type="dxa" w:w="15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0.91</w:t>
            </w:r>
          </w:p>
        </w:tc>
        <w:tc>
          <w:tcPr>
            <w:tcW w:type="dxa" w:w="18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1.01</w:t>
            </w:r>
          </w:p>
        </w:tc>
        <w:tc>
          <w:tcPr>
            <w:tcW w:type="dxa" w:w="19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1.24</w:t>
            </w:r>
          </w:p>
        </w:tc>
        <w:tc>
          <w:tcPr>
            <w:tcW w:type="dxa" w:w="176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22"/>
                <w:szCs w:val="22"/>
              </w:rPr>
              <w:t xml:space="preserve">+10.0</w:t>
            </w:r>
          </w:p>
        </w:tc>
      </w:tr>
    </w:tbl>
    <w:p>
      <w:pPr>
        <w:spacing w:after="0" w:before="0" w:line="480"/>
        <w:jc w:val="left"/>
      </w:pPr>
      <w:r>
        <w:rPr>
          <w:rFonts w:ascii="Times New Roman" w:cs="Times New Roman" w:eastAsia="Times New Roman" w:hAnsi="Times New Roman"/>
          <w:sz w:val="24"/>
          <w:szCs w:val="24"/>
        </w:rPr>
        <w:t xml:space="preserve"/>
      </w:r>
    </w:p>
    <w:p>
      <w:pPr>
        <w:keepNext/>
        <w:spacing w:after="0" w:before="0" w:line="480"/>
        <w:jc w:val="left"/>
      </w:pPr>
      <w:r>
        <w:rPr>
          <w:rFonts w:ascii="Times New Roman" w:cs="Times New Roman" w:eastAsia="Times New Roman" w:hAnsi="Times New Roman"/>
          <w:b/>
          <w:bCs/>
          <w:sz w:val="24"/>
          <w:szCs w:val="24"/>
        </w:rPr>
        <w:t xml:space="preserve">Figure 3</w:t>
      </w:r>
    </w:p>
    <w:p>
      <w:pPr>
        <w:keepNext/>
        <w:spacing w:after="0" w:before="0" w:line="480"/>
        <w:jc w:val="left"/>
      </w:pPr>
      <w:r>
        <w:rPr>
          <w:rFonts w:ascii="Times New Roman" w:cs="Times New Roman" w:eastAsia="Times New Roman" w:hAnsi="Times New Roman"/>
          <w:i/>
          <w:iCs/>
          <w:sz w:val="24"/>
          <w:szCs w:val="24"/>
        </w:rPr>
        <w:t xml:space="preserve">Gain of the LSTM over the better naive forecast for each sensor</w:t>
      </w:r>
    </w:p>
    <w:p>
      <w:pPr>
        <w:keepNext/>
        <w:spacing w:after="120" w:before="120"/>
        <w:jc w:val="center"/>
      </w:pPr>
      <w:r>
        <w:drawing>
          <wp:inline distT="0" distB="0" distL="0" distR="0">
            <wp:extent cx="5486400" cy="2743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743200"/>
                    </a:xfrm>
                    <a:prstGeom prst="rect">
                      <a:avLst/>
                    </a:prstGeom>
                  </pic:spPr>
                </pic:pic>
              </a:graphicData>
            </a:graphic>
          </wp:inline>
        </w:drawing>
      </w:r>
    </w:p>
    <w:p>
      <w:pPr>
        <w:spacing w:after="0" w:before="0" w:line="480"/>
        <w:jc w:val="left"/>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Bars above zero mean the LSTM has lower horizon-averaged test error; the dashed line marks the 5% gain a sensor must reach to be labelled informative.</w:t>
      </w:r>
    </w:p>
    <w:p>
      <w:pPr>
        <w:keepNext/>
        <w:spacing w:after="0" w:before="0" w:line="480"/>
        <w:jc w:val="left"/>
      </w:pPr>
      <w:r>
        <w:rPr>
          <w:rFonts w:ascii="Times New Roman" w:cs="Times New Roman" w:eastAsia="Times New Roman" w:hAnsi="Times New Roman"/>
          <w:b/>
          <w:bCs/>
          <w:sz w:val="24"/>
          <w:szCs w:val="24"/>
        </w:rPr>
        <w:t xml:space="preserve">Anomaly Screen</w:t>
      </w:r>
    </w:p>
    <w:p>
      <w:pPr>
        <w:spacing w:after="0" w:before="0" w:line="480"/>
        <w:ind w:firstLine="720"/>
        <w:jc w:val="left"/>
      </w:pPr>
      <w:r>
        <w:rPr>
          <w:rFonts w:ascii="Times New Roman" w:cs="Times New Roman" w:eastAsia="Times New Roman" w:hAnsi="Times New Roman"/>
          <w:sz w:val="24"/>
          <w:szCs w:val="24"/>
        </w:rPr>
        <w:t xml:space="preserve">The autoencoder was trained on 2,808 windows and calibrated on 900 held-out windows. Mean reconstruction error was 0.131 on training windows and 0.132 on validation windows, and the 0.99 quantile threshold was 0.150. In operation a simulated cassava node scored 0.91 of the threshold and was reported as normal, whereas a physical node whose probe returned a nitrogen reading of zero scored 23.7 times the threshold and was flagged, with nitrogen, phosphorus, potassium and moisture named as the sensors involved. We do not report detection accuracy because no labelled anomalies exist for this deployment; such figures are meaningful only on labelled benchmarks of the kind assembled by Schmidl et al. (2022).</w:t>
      </w:r>
    </w:p>
    <w:p>
      <w:pPr>
        <w:keepNext/>
        <w:spacing w:after="0" w:before="0" w:line="480"/>
        <w:jc w:val="left"/>
      </w:pPr>
      <w:r>
        <w:rPr>
          <w:rFonts w:ascii="Times New Roman" w:cs="Times New Roman" w:eastAsia="Times New Roman" w:hAnsi="Times New Roman"/>
          <w:b/>
          <w:bCs/>
          <w:sz w:val="24"/>
          <w:szCs w:val="24"/>
        </w:rPr>
        <w:t xml:space="preserve">End-to-End Behaviour</w:t>
      </w:r>
    </w:p>
    <w:p>
      <w:pPr>
        <w:spacing w:after="0" w:before="0" w:line="480"/>
        <w:ind w:firstLine="720"/>
        <w:jc w:val="left"/>
      </w:pPr>
      <w:r>
        <w:rPr>
          <w:rFonts w:ascii="Times New Roman" w:cs="Times New Roman" w:eastAsia="Times New Roman" w:hAnsi="Times New Roman"/>
          <w:sz w:val="24"/>
          <w:szCs w:val="24"/>
        </w:rPr>
        <w:t xml:space="preserve">A node analysis request completed in 12.2 seconds on a laptop-class processor, of which 9.6 seconds were spent in generation; the two hybrid searches took 2.5 and 0.7 seconds. The answer described the forecast as a weak, level-only estimate, in line with the gate. Software quality was checked with 119 automated backend tests covering the telemetry gateway, the three models, the evidence block, the condition query and the fallback path. We did not measure answer quality with users or with a framework such as RAGAs (Es et al., 2024); this is left for future work.</w:t>
      </w:r>
    </w:p>
    <w:p>
      <w:pPr>
        <w:keepNext/>
        <w:spacing w:after="0" w:before="0" w:line="480"/>
        <w:jc w:val="left"/>
      </w:pPr>
      <w:r>
        <w:rPr>
          <w:rFonts w:ascii="Times New Roman" w:cs="Times New Roman" w:eastAsia="Times New Roman" w:hAnsi="Times New Roman"/>
          <w:b/>
          <w:bCs/>
          <w:sz w:val="24"/>
          <w:szCs w:val="24"/>
        </w:rPr>
        <w:t xml:space="preserve">Faults Found in the Earlier Integration</w:t>
      </w:r>
    </w:p>
    <w:p>
      <w:pPr>
        <w:spacing w:after="0" w:before="0" w:line="480"/>
        <w:ind w:firstLine="720"/>
        <w:jc w:val="left"/>
      </w:pPr>
      <w:r>
        <w:rPr>
          <w:rFonts w:ascii="Times New Roman" w:cs="Times New Roman" w:eastAsia="Times New Roman" w:hAnsi="Times New Roman"/>
          <w:sz w:val="24"/>
          <w:szCs w:val="24"/>
        </w:rPr>
        <w:t xml:space="preserve">An audit of the earlier version explained why the LSTM models had little influence on advice. The forecaster could not be loaded with the installed deep learning library, and its training code discarded an entire stretch of history when a single value was missing, which left no training windows. The anomaly autoencoder had been trained but no inference code called it. The crop model was applied to hardware nodes only. Rule-based screening compared a 0–100% sensor scale with volumetric thresholds of 15–22%, so every node was reported as too wet, and flooded rice was treated as waterlogged. Retrieval used only the wording of the question. Such faults are consistent with the observation that the robustness of RAG systems evolves during operation (Barnett et al., 2024) and with the many implementation choices in a RAG workflow (X. Wang et al., 2024).</w:t>
      </w:r>
    </w:p>
    <w:p>
      <w:pPr>
        <w:keepNext/>
        <w:spacing w:after="0" w:before="0" w:line="480"/>
        <w:jc w:val="center"/>
      </w:pPr>
      <w:r>
        <w:rPr>
          <w:rFonts w:ascii="Times New Roman" w:cs="Times New Roman" w:eastAsia="Times New Roman" w:hAnsi="Times New Roman"/>
          <w:b/>
          <w:bCs/>
          <w:sz w:val="24"/>
          <w:szCs w:val="24"/>
        </w:rPr>
        <w:t xml:space="preserve">Discussion and Limitations</w:t>
      </w:r>
    </w:p>
    <w:p>
      <w:pPr>
        <w:spacing w:after="0" w:before="0" w:line="480"/>
        <w:ind w:firstLine="720"/>
        <w:jc w:val="left"/>
      </w:pPr>
      <w:r>
        <w:rPr>
          <w:rFonts w:ascii="Times New Roman" w:cs="Times New Roman" w:eastAsia="Times New Roman" w:hAnsi="Times New Roman"/>
          <w:sz w:val="24"/>
          <w:szCs w:val="24"/>
        </w:rPr>
        <w:t xml:space="preserve">The main lesson is that integration and model skill are separate questions. The integration now works end to end: model output reaches the prompt, shapes retrieval and is bounded by explicit rules. Skill, however, depends on the data, and on the telemetry available the forecaster added nothing beyond a rolling average. Reporting that plainly, and making the assistant say so, is in our view preferable to presenting a level estimate as a prediction, given the documented risk of misinformation in agricultural advice (De Clercq et al., 2024; Tzachor et al., 2022).</w:t>
      </w:r>
    </w:p>
    <w:p>
      <w:pPr>
        <w:spacing w:after="0" w:before="0" w:line="480"/>
        <w:ind w:firstLine="720"/>
        <w:jc w:val="left"/>
      </w:pPr>
      <w:r>
        <w:rPr>
          <w:rFonts w:ascii="Times New Roman" w:cs="Times New Roman" w:eastAsia="Times New Roman" w:hAnsi="Times New Roman"/>
          <w:sz w:val="24"/>
          <w:szCs w:val="24"/>
        </w:rPr>
        <w:t xml:space="preserve">Several limitations follow. First, most of the telemetry is simulated, and low-cost soil sensors are themselves imprecise and prone to drift (Lin et al., 2023; Schwamback et al., 2023); results on field data may differ. Second, the anomaly screen was calibrated on data assumed to be normal and has not been validated against labelled faults. Third, the screening ranges for rice and cassava are provisional and the nutrient ranges have not been reconciled with the scale of the NPK probes, whose error against laboratory analysis is appreciable (Musa et al., 2024). Fourth, the fusion constant and the rerank threshold were not tuned, although fusion is sensitive to its parameters (Bruch et al., 2023). Fifth, the residual-quantile interval assumes that validation errors resemble future errors; adaptive conformal methods relax that assumption (Barber et al., 2023; Zaffran et al., 2022). Finally, the system has not been evaluated with farmers, and acceptance of LLM-based advisory tools depends on transparency and inclusion (Edet &amp; Chowdhury, 2026) as well as on connectivity and digital skills (Abioye et al., 2024; Choruma et al., 2024).</w:t>
      </w:r>
    </w:p>
    <w:p>
      <w:pPr>
        <w:keepNext/>
        <w:spacing w:after="0" w:before="0" w:line="480"/>
        <w:jc w:val="center"/>
      </w:pPr>
      <w:r>
        <w:rPr>
          <w:rFonts w:ascii="Times New Roman" w:cs="Times New Roman" w:eastAsia="Times New Roman" w:hAnsi="Times New Roman"/>
          <w:b/>
          <w:bCs/>
          <w:sz w:val="24"/>
          <w:szCs w:val="24"/>
        </w:rPr>
        <w:t xml:space="preserve">Conclusion and Future Work</w:t>
      </w:r>
    </w:p>
    <w:p>
      <w:pPr>
        <w:spacing w:after="0" w:before="0" w:line="480"/>
        <w:ind w:firstLine="720"/>
        <w:jc w:val="left"/>
      </w:pPr>
      <w:r>
        <w:rPr>
          <w:rFonts w:ascii="Times New Roman" w:cs="Times New Roman" w:eastAsia="Times New Roman" w:hAnsi="Times New Roman"/>
          <w:sz w:val="24"/>
          <w:szCs w:val="24"/>
        </w:rPr>
        <w:t xml:space="preserve">Soil Doctor shows one way to make LSTM models and a RAG assistant work as a single pipeline: the models analyse the telemetry, their findings are written into the prompt with an explicit statement of reliability, and the same findings choose the knowledge that is retrieved. The baseline gate keeps the language model from overstating what the forecaster knows, which matters because language models are not reliable forecasters or anomaly detectors on their own (Tan et al., 2024; Zhou &amp; Yu, 2025). Future work will retrain the forecaster on field telemetry as it accumulates, validate the anomaly screen with injected and labelled faults, replace the fixed interval with an adaptive conformal interval (Xu &amp; Xie, 2023), evaluate faithfulness and answer relevance with an automated framework (Es et al., 2024), and test the assistant with extension agents and farmers, keeping human experts in the loop (Tzachor et al., 2023).</w:t>
      </w:r>
    </w:p>
    <w:p>
      <w:pPr>
        <w:pageBreakBefore/>
        <w:spacing w:after="0" w:before="0"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Abdelmoneim, A. A., Al Kalaany, C. M., Khadra, R., Derardja, B., &amp; Dragonetti, G. (2025). Calibration of low-cost capacitive soil moisture sensors for irrigation management applications. </w:t>
      </w:r>
      <w:r>
        <w:rPr>
          <w:rFonts w:ascii="Times New Roman" w:cs="Times New Roman" w:eastAsia="Times New Roman" w:hAnsi="Times New Roman"/>
          <w:i/>
          <w:iCs/>
          <w:sz w:val="24"/>
          <w:szCs w:val="24"/>
        </w:rPr>
        <w:t xml:space="preserve">Sensors,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sz w:val="24"/>
          <w:szCs w:val="24"/>
        </w:rPr>
        <w:t xml:space="preserve">(2), Article 343. https://doi.org/10.3390/s25020343</w:t>
      </w:r>
    </w:p>
    <w:p>
      <w:pPr>
        <w:spacing w:line="480"/>
        <w:ind w:left="720" w:hanging="720"/>
      </w:pPr>
      <w:r>
        <w:rPr>
          <w:rFonts w:ascii="Times New Roman" w:cs="Times New Roman" w:eastAsia="Times New Roman" w:hAnsi="Times New Roman"/>
          <w:sz w:val="24"/>
          <w:szCs w:val="24"/>
        </w:rPr>
        <w:t xml:space="preserve">Abioye, D. O., Popoola, O., Akande, A., Fadare, D. A., Omitoyin, S. A., Yinusa, B., &amp; Kolade, O. O. (2024). Farmers’ willingness to adopt digital application tools in Ogun State, Nigeria. </w:t>
      </w:r>
      <w:r>
        <w:rPr>
          <w:rFonts w:ascii="Times New Roman" w:cs="Times New Roman" w:eastAsia="Times New Roman" w:hAnsi="Times New Roman"/>
          <w:i/>
          <w:iCs/>
          <w:sz w:val="24"/>
          <w:szCs w:val="24"/>
        </w:rPr>
        <w:t xml:space="preserve">Journal of Strategy and Management, </w:t>
      </w:r>
      <w:r>
        <w:rPr>
          <w:rFonts w:ascii="Times New Roman" w:cs="Times New Roman" w:eastAsia="Times New Roman" w:hAnsi="Times New Roman"/>
          <w:i/>
          <w:iCs/>
          <w:sz w:val="24"/>
          <w:szCs w:val="24"/>
        </w:rPr>
        <w:t xml:space="preserve">19</w:t>
      </w:r>
      <w:r>
        <w:rPr>
          <w:rFonts w:ascii="Times New Roman" w:cs="Times New Roman" w:eastAsia="Times New Roman" w:hAnsi="Times New Roman"/>
          <w:sz w:val="24"/>
          <w:szCs w:val="24"/>
        </w:rPr>
        <w:t xml:space="preserve">(3), 602–622. https://doi.org/10.1108/JSMA-06-2023-0135</w:t>
      </w:r>
    </w:p>
    <w:p>
      <w:pPr>
        <w:spacing w:line="480"/>
        <w:ind w:left="720" w:hanging="720"/>
      </w:pPr>
      <w:r>
        <w:rPr>
          <w:rFonts w:ascii="Times New Roman" w:cs="Times New Roman" w:eastAsia="Times New Roman" w:hAnsi="Times New Roman"/>
          <w:sz w:val="24"/>
          <w:szCs w:val="24"/>
        </w:rPr>
        <w:t xml:space="preserve">Abu Bakr, M., Khan, A. J., Khan, S. D., Zafar, M. H., Ullah, M., &amp; Ullah, H. (2025). Evaluation of learning-based models for crop recommendation in smart agriculture. </w:t>
      </w:r>
      <w:r>
        <w:rPr>
          <w:rFonts w:ascii="Times New Roman" w:cs="Times New Roman" w:eastAsia="Times New Roman" w:hAnsi="Times New Roman"/>
          <w:i/>
          <w:iCs/>
          <w:sz w:val="24"/>
          <w:szCs w:val="24"/>
        </w:rPr>
        <w:t xml:space="preserve">Information, </w:t>
      </w:r>
      <w:r>
        <w:rPr>
          <w:rFonts w:ascii="Times New Roman" w:cs="Times New Roman" w:eastAsia="Times New Roman" w:hAnsi="Times New Roman"/>
          <w:i/>
          <w:iCs/>
          <w:sz w:val="24"/>
          <w:szCs w:val="24"/>
        </w:rPr>
        <w:t xml:space="preserve">16</w:t>
      </w:r>
      <w:r>
        <w:rPr>
          <w:rFonts w:ascii="Times New Roman" w:cs="Times New Roman" w:eastAsia="Times New Roman" w:hAnsi="Times New Roman"/>
          <w:sz w:val="24"/>
          <w:szCs w:val="24"/>
        </w:rPr>
        <w:t xml:space="preserve">(8), Article 632. https://doi.org/10.3390/info16080632</w:t>
      </w:r>
    </w:p>
    <w:p>
      <w:pPr>
        <w:spacing w:line="480"/>
        <w:ind w:left="720" w:hanging="720"/>
      </w:pPr>
      <w:r>
        <w:rPr>
          <w:rFonts w:ascii="Times New Roman" w:cs="Times New Roman" w:eastAsia="Times New Roman" w:hAnsi="Times New Roman"/>
          <w:sz w:val="24"/>
          <w:szCs w:val="24"/>
        </w:rPr>
        <w:t xml:space="preserve">Ali, M. S., Khan, D. U., Ahmad, L. I., Irfan, U., Mustafa, M., Bhatti, N. A., &amp; Alizai, M. H. (2026). </w:t>
      </w:r>
      <w:r>
        <w:rPr>
          <w:rFonts w:ascii="Times New Roman" w:cs="Times New Roman" w:eastAsia="Times New Roman" w:hAnsi="Times New Roman"/>
          <w:i/>
          <w:iCs/>
          <w:sz w:val="24"/>
          <w:szCs w:val="24"/>
        </w:rPr>
        <w:t xml:space="preserve">Kissan-Dost: Bridging the last mile in smallholder precision agriculture with conversational IoT</w:t>
      </w:r>
      <w:r>
        <w:rPr>
          <w:rFonts w:ascii="Times New Roman" w:cs="Times New Roman" w:eastAsia="Times New Roman" w:hAnsi="Times New Roman"/>
          <w:sz w:val="24"/>
          <w:szCs w:val="24"/>
        </w:rPr>
        <w:t xml:space="preserve"> (arXiv:2602.08593). arXiv. https://doi.org/10.48550/arXiv.2602.08593</w:t>
      </w:r>
    </w:p>
    <w:p>
      <w:pPr>
        <w:spacing w:line="480"/>
        <w:ind w:left="720" w:hanging="720"/>
      </w:pPr>
      <w:r>
        <w:rPr>
          <w:rFonts w:ascii="Times New Roman" w:cs="Times New Roman" w:eastAsia="Times New Roman" w:hAnsi="Times New Roman"/>
          <w:sz w:val="24"/>
          <w:szCs w:val="24"/>
        </w:rPr>
        <w:t xml:space="preserve">Asai, A., Wu, Z., Wang, Y., Sil, A., &amp; Hajishirzi, H. (2024). Self-RAG: Learning to retrieve, generate, and critique through self-reflection. In </w:t>
      </w:r>
      <w:r>
        <w:rPr>
          <w:rFonts w:ascii="Times New Roman" w:cs="Times New Roman" w:eastAsia="Times New Roman" w:hAnsi="Times New Roman"/>
          <w:i/>
          <w:iCs/>
          <w:sz w:val="24"/>
          <w:szCs w:val="24"/>
        </w:rPr>
        <w:t xml:space="preserve">International Conference on Learning Representations (ICLR 2024)</w:t>
      </w:r>
      <w:r>
        <w:rPr>
          <w:rFonts w:ascii="Times New Roman" w:cs="Times New Roman" w:eastAsia="Times New Roman" w:hAnsi="Times New Roman"/>
          <w:sz w:val="24"/>
          <w:szCs w:val="24"/>
        </w:rPr>
        <w:t xml:space="preserve">. https://arxiv.org/abs/2310.11511</w:t>
      </w:r>
    </w:p>
    <w:p>
      <w:pPr>
        <w:spacing w:line="480"/>
        <w:ind w:left="720" w:hanging="720"/>
      </w:pPr>
      <w:r>
        <w:rPr>
          <w:rFonts w:ascii="Times New Roman" w:cs="Times New Roman" w:eastAsia="Times New Roman" w:hAnsi="Times New Roman"/>
          <w:sz w:val="24"/>
          <w:szCs w:val="24"/>
        </w:rPr>
        <w:t xml:space="preserve">Balaguer, A., Benara, V., de Freitas Cunha, R. L., et al. (2024). </w:t>
      </w:r>
      <w:r>
        <w:rPr>
          <w:rFonts w:ascii="Times New Roman" w:cs="Times New Roman" w:eastAsia="Times New Roman" w:hAnsi="Times New Roman"/>
          <w:i/>
          <w:iCs/>
          <w:sz w:val="24"/>
          <w:szCs w:val="24"/>
        </w:rPr>
        <w:t xml:space="preserve">RAG vs fine-tuning: Pipelines, tradeoffs, and a case study on agriculture</w:t>
      </w:r>
      <w:r>
        <w:rPr>
          <w:rFonts w:ascii="Times New Roman" w:cs="Times New Roman" w:eastAsia="Times New Roman" w:hAnsi="Times New Roman"/>
          <w:sz w:val="24"/>
          <w:szCs w:val="24"/>
        </w:rPr>
        <w:t xml:space="preserve"> (arXiv:2401.08406). arXiv. https://doi.org/10.48550/arXiv.2401.08406</w:t>
      </w:r>
    </w:p>
    <w:p>
      <w:pPr>
        <w:spacing w:line="480"/>
        <w:ind w:left="720" w:hanging="720"/>
      </w:pPr>
      <w:r>
        <w:rPr>
          <w:rFonts w:ascii="Times New Roman" w:cs="Times New Roman" w:eastAsia="Times New Roman" w:hAnsi="Times New Roman"/>
          <w:sz w:val="24"/>
          <w:szCs w:val="24"/>
        </w:rPr>
        <w:t xml:space="preserve">Barber, R. F., Candès, E. J., Ramdas, A., &amp; Tibshirani, R. J. (2023). Conformal prediction beyond exchangeability. </w:t>
      </w:r>
      <w:r>
        <w:rPr>
          <w:rFonts w:ascii="Times New Roman" w:cs="Times New Roman" w:eastAsia="Times New Roman" w:hAnsi="Times New Roman"/>
          <w:i/>
          <w:iCs/>
          <w:sz w:val="24"/>
          <w:szCs w:val="24"/>
        </w:rPr>
        <w:t xml:space="preserve">The Annals of Statistics, </w:t>
      </w:r>
      <w:r>
        <w:rPr>
          <w:rFonts w:ascii="Times New Roman" w:cs="Times New Roman" w:eastAsia="Times New Roman" w:hAnsi="Times New Roman"/>
          <w:i/>
          <w:iCs/>
          <w:sz w:val="24"/>
          <w:szCs w:val="24"/>
        </w:rPr>
        <w:t xml:space="preserve">51</w:t>
      </w:r>
      <w:r>
        <w:rPr>
          <w:rFonts w:ascii="Times New Roman" w:cs="Times New Roman" w:eastAsia="Times New Roman" w:hAnsi="Times New Roman"/>
          <w:sz w:val="24"/>
          <w:szCs w:val="24"/>
        </w:rPr>
        <w:t xml:space="preserve">(2), 816–845. https://doi.org/10.1214/23-AOS2276</w:t>
      </w:r>
    </w:p>
    <w:p>
      <w:pPr>
        <w:spacing w:line="480"/>
        <w:ind w:left="720" w:hanging="720"/>
      </w:pPr>
      <w:r>
        <w:rPr>
          <w:rFonts w:ascii="Times New Roman" w:cs="Times New Roman" w:eastAsia="Times New Roman" w:hAnsi="Times New Roman"/>
          <w:sz w:val="24"/>
          <w:szCs w:val="24"/>
        </w:rPr>
        <w:t xml:space="preserve">Barnett, S., Kurniawan, S., Thudumu, S., Brannelly, Z., &amp; Abdelrazek, M. (2024). Seven failure points when engineering a retrieval augmented generation system. In </w:t>
      </w:r>
      <w:r>
        <w:rPr>
          <w:rFonts w:ascii="Times New Roman" w:cs="Times New Roman" w:eastAsia="Times New Roman" w:hAnsi="Times New Roman"/>
          <w:i/>
          <w:iCs/>
          <w:sz w:val="24"/>
          <w:szCs w:val="24"/>
        </w:rPr>
        <w:t xml:space="preserve">Proceedings of the IEEE/ACM 3rd International Conference on AI Engineering – Software Engineering for AI</w:t>
      </w:r>
      <w:r>
        <w:rPr>
          <w:rFonts w:ascii="Times New Roman" w:cs="Times New Roman" w:eastAsia="Times New Roman" w:hAnsi="Times New Roman"/>
          <w:sz w:val="24"/>
          <w:szCs w:val="24"/>
        </w:rPr>
        <w:t xml:space="preserve"> (pp. 194–199). https://doi.org/10.1145/3644815.3644945</w:t>
      </w:r>
    </w:p>
    <w:p>
      <w:pPr>
        <w:spacing w:line="480"/>
        <w:ind w:left="720" w:hanging="720"/>
      </w:pPr>
      <w:r>
        <w:rPr>
          <w:rFonts w:ascii="Times New Roman" w:cs="Times New Roman" w:eastAsia="Times New Roman" w:hAnsi="Times New Roman"/>
          <w:sz w:val="24"/>
          <w:szCs w:val="24"/>
        </w:rPr>
        <w:t xml:space="preserve">Benidis, K., Rangapuram, S. S., Flunkert, V., et al. (2022). Deep learning for time series forecasting: Tutorial and literature survey. </w:t>
      </w:r>
      <w:r>
        <w:rPr>
          <w:rFonts w:ascii="Times New Roman" w:cs="Times New Roman" w:eastAsia="Times New Roman" w:hAnsi="Times New Roman"/>
          <w:i/>
          <w:iCs/>
          <w:sz w:val="24"/>
          <w:szCs w:val="24"/>
        </w:rPr>
        <w:t xml:space="preserve">ACM Computing Surveys, </w:t>
      </w:r>
      <w:r>
        <w:rPr>
          <w:rFonts w:ascii="Times New Roman" w:cs="Times New Roman" w:eastAsia="Times New Roman" w:hAnsi="Times New Roman"/>
          <w:i/>
          <w:iCs/>
          <w:sz w:val="24"/>
          <w:szCs w:val="24"/>
        </w:rPr>
        <w:t xml:space="preserve">55</w:t>
      </w:r>
      <w:r>
        <w:rPr>
          <w:rFonts w:ascii="Times New Roman" w:cs="Times New Roman" w:eastAsia="Times New Roman" w:hAnsi="Times New Roman"/>
          <w:sz w:val="24"/>
          <w:szCs w:val="24"/>
        </w:rPr>
        <w:t xml:space="preserve">(6), 1–36. https://doi.org/10.1145/3533382</w:t>
      </w:r>
    </w:p>
    <w:p>
      <w:pPr>
        <w:spacing w:line="480"/>
        <w:ind w:left="720" w:hanging="720"/>
      </w:pPr>
      <w:r>
        <w:rPr>
          <w:rFonts w:ascii="Times New Roman" w:cs="Times New Roman" w:eastAsia="Times New Roman" w:hAnsi="Times New Roman"/>
          <w:sz w:val="24"/>
          <w:szCs w:val="24"/>
        </w:rPr>
        <w:t xml:space="preserve">Bruch, S., Gai, S., &amp; Ingber, A. (2023). An analysis of fusion functions for hybrid retrieval. </w:t>
      </w:r>
      <w:r>
        <w:rPr>
          <w:rFonts w:ascii="Times New Roman" w:cs="Times New Roman" w:eastAsia="Times New Roman" w:hAnsi="Times New Roman"/>
          <w:i/>
          <w:iCs/>
          <w:sz w:val="24"/>
          <w:szCs w:val="24"/>
        </w:rPr>
        <w:t xml:space="preserve">ACM Transactions on Information Systems, </w:t>
      </w:r>
      <w:r>
        <w:rPr>
          <w:rFonts w:ascii="Times New Roman" w:cs="Times New Roman" w:eastAsia="Times New Roman" w:hAnsi="Times New Roman"/>
          <w:i/>
          <w:iCs/>
          <w:sz w:val="24"/>
          <w:szCs w:val="24"/>
        </w:rPr>
        <w:t xml:space="preserve">42</w:t>
      </w:r>
      <w:r>
        <w:rPr>
          <w:rFonts w:ascii="Times New Roman" w:cs="Times New Roman" w:eastAsia="Times New Roman" w:hAnsi="Times New Roman"/>
          <w:sz w:val="24"/>
          <w:szCs w:val="24"/>
        </w:rPr>
        <w:t xml:space="preserve">(1), 1–35. https://doi.org/10.1145/3596512</w:t>
      </w:r>
    </w:p>
    <w:p>
      <w:pPr>
        <w:spacing w:line="480"/>
        <w:ind w:left="720" w:hanging="720"/>
      </w:pPr>
      <w:r>
        <w:rPr>
          <w:rFonts w:ascii="Times New Roman" w:cs="Times New Roman" w:eastAsia="Times New Roman" w:hAnsi="Times New Roman"/>
          <w:sz w:val="24"/>
          <w:szCs w:val="24"/>
        </w:rPr>
        <w:t xml:space="preserve">Chen, J., Lin, H., Han, X., &amp; Sun, L. (2024). Benchmarking large language models in retrieval-augmented generation. </w:t>
      </w:r>
      <w:r>
        <w:rPr>
          <w:rFonts w:ascii="Times New Roman" w:cs="Times New Roman" w:eastAsia="Times New Roman" w:hAnsi="Times New Roman"/>
          <w:i/>
          <w:iCs/>
          <w:sz w:val="24"/>
          <w:szCs w:val="24"/>
        </w:rPr>
        <w:t xml:space="preserve">Proceedings of the AAAI Conference on Artificial Intelligence, </w:t>
      </w:r>
      <w:r>
        <w:rPr>
          <w:rFonts w:ascii="Times New Roman" w:cs="Times New Roman" w:eastAsia="Times New Roman" w:hAnsi="Times New Roman"/>
          <w:i/>
          <w:iCs/>
          <w:sz w:val="24"/>
          <w:szCs w:val="24"/>
        </w:rPr>
        <w:t xml:space="preserve">38</w:t>
      </w:r>
      <w:r>
        <w:rPr>
          <w:rFonts w:ascii="Times New Roman" w:cs="Times New Roman" w:eastAsia="Times New Roman" w:hAnsi="Times New Roman"/>
          <w:sz w:val="24"/>
          <w:szCs w:val="24"/>
        </w:rPr>
        <w:t xml:space="preserve">(16), 17754–17762. https://doi.org/10.1609/aaai.v38i16.29728</w:t>
      </w:r>
    </w:p>
    <w:p>
      <w:pPr>
        <w:spacing w:line="480"/>
        <w:ind w:left="720" w:hanging="720"/>
      </w:pPr>
      <w:r>
        <w:rPr>
          <w:rFonts w:ascii="Times New Roman" w:cs="Times New Roman" w:eastAsia="Times New Roman" w:hAnsi="Times New Roman"/>
          <w:sz w:val="24"/>
          <w:szCs w:val="24"/>
        </w:rPr>
        <w:t xml:space="preserve">Chen, L., Zaharia, M., &amp; Zou, J. (2024). FrugalGPT: How to use large language models while reducing cost and improving performance. </w:t>
      </w:r>
      <w:r>
        <w:rPr>
          <w:rFonts w:ascii="Times New Roman" w:cs="Times New Roman" w:eastAsia="Times New Roman" w:hAnsi="Times New Roman"/>
          <w:i/>
          <w:iCs/>
          <w:sz w:val="24"/>
          <w:szCs w:val="24"/>
        </w:rPr>
        <w:t xml:space="preserve">Transactions on Machine Learning Research</w:t>
      </w:r>
      <w:r>
        <w:rPr>
          <w:rFonts w:ascii="Times New Roman" w:cs="Times New Roman" w:eastAsia="Times New Roman" w:hAnsi="Times New Roman"/>
          <w:sz w:val="24"/>
          <w:szCs w:val="24"/>
        </w:rPr>
        <w:t xml:space="preserve">. https://arxiv.org/abs/2305.05176</w:t>
      </w:r>
    </w:p>
    <w:p>
      <w:pPr>
        <w:spacing w:line="480"/>
        <w:ind w:left="720" w:hanging="720"/>
      </w:pPr>
      <w:r>
        <w:rPr>
          <w:rFonts w:ascii="Times New Roman" w:cs="Times New Roman" w:eastAsia="Times New Roman" w:hAnsi="Times New Roman"/>
          <w:sz w:val="24"/>
          <w:szCs w:val="24"/>
        </w:rPr>
        <w:t xml:space="preserve">Cheng, W., Ma, T., Wang, X., &amp; Wang, G. (2022). Anomaly detection for internet of things time series data using generative adversarial networks with attention mechanism in smart agriculture. </w:t>
      </w:r>
      <w:r>
        <w:rPr>
          <w:rFonts w:ascii="Times New Roman" w:cs="Times New Roman" w:eastAsia="Times New Roman" w:hAnsi="Times New Roman"/>
          <w:i/>
          <w:iCs/>
          <w:sz w:val="24"/>
          <w:szCs w:val="24"/>
        </w:rPr>
        <w:t xml:space="preserve">Frontiers in Plant Science,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 Article 890563. https://doi.org/10.3389/fpls.2022.890563</w:t>
      </w:r>
    </w:p>
    <w:p>
      <w:pPr>
        <w:spacing w:line="480"/>
        <w:ind w:left="720" w:hanging="720"/>
      </w:pPr>
      <w:r>
        <w:rPr>
          <w:rFonts w:ascii="Times New Roman" w:cs="Times New Roman" w:eastAsia="Times New Roman" w:hAnsi="Times New Roman"/>
          <w:sz w:val="24"/>
          <w:szCs w:val="24"/>
        </w:rPr>
        <w:t xml:space="preserve">Choruma, D. J., Dirwai, T. L., Mutenje, M. J., Mustafa, M., Chimonyo, V. G. P., Jacobs-Mata, I., &amp; Mabhaudhi, T. (2024). Digitalisation in agriculture: A scoping review of technologies in practice, challenges, and opportunities for smallholder farmers in sub-Saharan Africa. </w:t>
      </w:r>
      <w:r>
        <w:rPr>
          <w:rFonts w:ascii="Times New Roman" w:cs="Times New Roman" w:eastAsia="Times New Roman" w:hAnsi="Times New Roman"/>
          <w:i/>
          <w:iCs/>
          <w:sz w:val="24"/>
          <w:szCs w:val="24"/>
        </w:rPr>
        <w:t xml:space="preserve">Journal of Agriculture and Food Research, </w:t>
      </w:r>
      <w:r>
        <w:rPr>
          <w:rFonts w:ascii="Times New Roman" w:cs="Times New Roman" w:eastAsia="Times New Roman" w:hAnsi="Times New Roman"/>
          <w:i/>
          <w:iCs/>
          <w:sz w:val="24"/>
          <w:szCs w:val="24"/>
        </w:rPr>
        <w:t xml:space="preserve">18</w:t>
      </w:r>
      <w:r>
        <w:rPr>
          <w:rFonts w:ascii="Times New Roman" w:cs="Times New Roman" w:eastAsia="Times New Roman" w:hAnsi="Times New Roman"/>
          <w:sz w:val="24"/>
          <w:szCs w:val="24"/>
        </w:rPr>
        <w:t xml:space="preserve">, Article 101286. https://doi.org/10.1016/j.jafr.2024.101286</w:t>
      </w:r>
    </w:p>
    <w:p>
      <w:pPr>
        <w:spacing w:line="480"/>
        <w:ind w:left="720" w:hanging="720"/>
      </w:pPr>
      <w:r>
        <w:rPr>
          <w:rFonts w:ascii="Times New Roman" w:cs="Times New Roman" w:eastAsia="Times New Roman" w:hAnsi="Times New Roman"/>
          <w:sz w:val="24"/>
          <w:szCs w:val="24"/>
        </w:rPr>
        <w:t xml:space="preserve">Chu, X., Talluri, S., Lu, Q., &amp; Iosup, A. (2025). An empirical characterization of outages and incidents in public services for large language models. In </w:t>
      </w:r>
      <w:r>
        <w:rPr>
          <w:rFonts w:ascii="Times New Roman" w:cs="Times New Roman" w:eastAsia="Times New Roman" w:hAnsi="Times New Roman"/>
          <w:i/>
          <w:iCs/>
          <w:sz w:val="24"/>
          <w:szCs w:val="24"/>
        </w:rPr>
        <w:t xml:space="preserve">Proceedings of the 16th ACM/SPEC International Conference on Performance Engineering</w:t>
      </w:r>
      <w:r>
        <w:rPr>
          <w:rFonts w:ascii="Times New Roman" w:cs="Times New Roman" w:eastAsia="Times New Roman" w:hAnsi="Times New Roman"/>
          <w:sz w:val="24"/>
          <w:szCs w:val="24"/>
        </w:rPr>
        <w:t xml:space="preserve"> (pp. 69–80). https://doi.org/10.1145/3676151.3719372</w:t>
      </w:r>
    </w:p>
    <w:p>
      <w:pPr>
        <w:spacing w:line="480"/>
        <w:ind w:left="720" w:hanging="720"/>
      </w:pPr>
      <w:r>
        <w:rPr>
          <w:rFonts w:ascii="Times New Roman" w:cs="Times New Roman" w:eastAsia="Times New Roman" w:hAnsi="Times New Roman"/>
          <w:sz w:val="24"/>
          <w:szCs w:val="24"/>
        </w:rPr>
        <w:t xml:space="preserve">De Clercq, D., Nehring, E., Mayne, H., &amp; Mahdi, A. (2024). Large language models can help boost food production, but be mindful of their risks. </w:t>
      </w:r>
      <w:r>
        <w:rPr>
          <w:rFonts w:ascii="Times New Roman" w:cs="Times New Roman" w:eastAsia="Times New Roman" w:hAnsi="Times New Roman"/>
          <w:i/>
          <w:iCs/>
          <w:sz w:val="24"/>
          <w:szCs w:val="24"/>
        </w:rPr>
        <w:t xml:space="preserve">Frontiers in Artificial Intelligence,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 Article 1326153. https://doi.org/10.3389/frai.2024.1326153</w:t>
      </w:r>
    </w:p>
    <w:p>
      <w:pPr>
        <w:spacing w:line="480"/>
        <w:ind w:left="720" w:hanging="720"/>
      </w:pPr>
      <w:r>
        <w:rPr>
          <w:rFonts w:ascii="Times New Roman" w:cs="Times New Roman" w:eastAsia="Times New Roman" w:hAnsi="Times New Roman"/>
          <w:sz w:val="24"/>
          <w:szCs w:val="24"/>
        </w:rPr>
        <w:t xml:space="preserve">Decorte, T., Mortier, S., Lembrechts, J. J., et al. (2024). Missing value imputation of wireless sensor data for environmental monitoring. </w:t>
      </w:r>
      <w:r>
        <w:rPr>
          <w:rFonts w:ascii="Times New Roman" w:cs="Times New Roman" w:eastAsia="Times New Roman" w:hAnsi="Times New Roman"/>
          <w:i/>
          <w:iCs/>
          <w:sz w:val="24"/>
          <w:szCs w:val="24"/>
        </w:rPr>
        <w:t xml:space="preserve">Sensors, </w:t>
      </w:r>
      <w:r>
        <w:rPr>
          <w:rFonts w:ascii="Times New Roman" w:cs="Times New Roman" w:eastAsia="Times New Roman" w:hAnsi="Times New Roman"/>
          <w:i/>
          <w:iCs/>
          <w:sz w:val="24"/>
          <w:szCs w:val="24"/>
        </w:rPr>
        <w:t xml:space="preserve">24</w:t>
      </w:r>
      <w:r>
        <w:rPr>
          <w:rFonts w:ascii="Times New Roman" w:cs="Times New Roman" w:eastAsia="Times New Roman" w:hAnsi="Times New Roman"/>
          <w:sz w:val="24"/>
          <w:szCs w:val="24"/>
        </w:rPr>
        <w:t xml:space="preserve">(8), Article 2416. https://doi.org/10.3390/s24082416</w:t>
      </w:r>
    </w:p>
    <w:p>
      <w:pPr>
        <w:spacing w:line="480"/>
        <w:ind w:left="720" w:hanging="720"/>
      </w:pPr>
      <w:r>
        <w:rPr>
          <w:rFonts w:ascii="Times New Roman" w:cs="Times New Roman" w:eastAsia="Times New Roman" w:hAnsi="Times New Roman"/>
          <w:sz w:val="24"/>
          <w:szCs w:val="24"/>
        </w:rPr>
        <w:t xml:space="preserve">Dey, B., Ferdous, J., &amp; Ahmed, R. (2024). Machine learning based recommendation of agricultural and horticultural crop farming in India under the regime of NPK, soil pH and three climatic variables. </w:t>
      </w:r>
      <w:r>
        <w:rPr>
          <w:rFonts w:ascii="Times New Roman" w:cs="Times New Roman" w:eastAsia="Times New Roman" w:hAnsi="Times New Roman"/>
          <w:i/>
          <w:iCs/>
          <w:sz w:val="24"/>
          <w:szCs w:val="24"/>
        </w:rPr>
        <w:t xml:space="preserve">Heliyon,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(3), Article e25112. https://doi.org/10.1016/j.heliyon.2024.e25112</w:t>
      </w:r>
    </w:p>
    <w:p>
      <w:pPr>
        <w:spacing w:line="480"/>
        <w:ind w:left="720" w:hanging="720"/>
      </w:pPr>
      <w:r>
        <w:rPr>
          <w:rFonts w:ascii="Times New Roman" w:cs="Times New Roman" w:eastAsia="Times New Roman" w:hAnsi="Times New Roman"/>
          <w:sz w:val="24"/>
          <w:szCs w:val="24"/>
        </w:rPr>
        <w:t xml:space="preserve">Edet, U. I., &amp; Chowdhury, A. (2026). Social acceptance of large language models in agricultural extension and advisory: A rapid review. </w:t>
      </w:r>
      <w:r>
        <w:rPr>
          <w:rFonts w:ascii="Times New Roman" w:cs="Times New Roman" w:eastAsia="Times New Roman" w:hAnsi="Times New Roman"/>
          <w:i/>
          <w:iCs/>
          <w:sz w:val="24"/>
          <w:szCs w:val="24"/>
        </w:rPr>
        <w:t xml:space="preserve">Q Open, </w:t>
      </w:r>
      <w:r>
        <w:rPr>
          <w:rFonts w:ascii="Times New Roman" w:cs="Times New Roman" w:eastAsia="Times New Roman" w:hAnsi="Times New Roman"/>
          <w:i/>
          <w:iCs/>
          <w:sz w:val="24"/>
          <w:szCs w:val="24"/>
        </w:rPr>
        <w:t xml:space="preserve">6</w:t>
      </w:r>
      <w:r>
        <w:rPr>
          <w:rFonts w:ascii="Times New Roman" w:cs="Times New Roman" w:eastAsia="Times New Roman" w:hAnsi="Times New Roman"/>
          <w:sz w:val="24"/>
          <w:szCs w:val="24"/>
        </w:rPr>
        <w:t xml:space="preserve">(1), Article qoag001. https://doi.org/10.1093/qopen/qoag001</w:t>
      </w:r>
    </w:p>
    <w:p>
      <w:pPr>
        <w:spacing w:line="480"/>
        <w:ind w:left="720" w:hanging="720"/>
      </w:pPr>
      <w:r>
        <w:rPr>
          <w:rFonts w:ascii="Times New Roman" w:cs="Times New Roman" w:eastAsia="Times New Roman" w:hAnsi="Times New Roman"/>
          <w:sz w:val="24"/>
          <w:szCs w:val="24"/>
        </w:rPr>
        <w:t xml:space="preserve">Es, S., James, J., Espinosa Anke, L., &amp; Schockaert, S. (2024). RAGAs: Automated evaluation of retrieval augmented generation. In </w:t>
      </w:r>
      <w:r>
        <w:rPr>
          <w:rFonts w:ascii="Times New Roman" w:cs="Times New Roman" w:eastAsia="Times New Roman" w:hAnsi="Times New Roman"/>
          <w:i/>
          <w:iCs/>
          <w:sz w:val="24"/>
          <w:szCs w:val="24"/>
        </w:rPr>
        <w:t xml:space="preserve">Proceedings of the 18th Conference of the European Chapter of the Association for Computational Linguistics: System Demonstrations</w:t>
      </w:r>
      <w:r>
        <w:rPr>
          <w:rFonts w:ascii="Times New Roman" w:cs="Times New Roman" w:eastAsia="Times New Roman" w:hAnsi="Times New Roman"/>
          <w:sz w:val="24"/>
          <w:szCs w:val="24"/>
        </w:rPr>
        <w:t xml:space="preserve"> (pp. 150–158). https://doi.org/10.18653/v1/2024.eacl-demo.16</w:t>
      </w:r>
    </w:p>
    <w:p>
      <w:pPr>
        <w:spacing w:line="480"/>
        <w:ind w:left="720" w:hanging="720"/>
      </w:pPr>
      <w:r>
        <w:rPr>
          <w:rFonts w:ascii="Times New Roman" w:cs="Times New Roman" w:eastAsia="Times New Roman" w:hAnsi="Times New Roman"/>
          <w:sz w:val="24"/>
          <w:szCs w:val="24"/>
        </w:rPr>
        <w:t xml:space="preserve">Fan, W., Ding, Y., Ning, L., et al. (2024). A survey on RAG meeting LLMs: Towards retrieval-augmented large language models. In </w:t>
      </w:r>
      <w:r>
        <w:rPr>
          <w:rFonts w:ascii="Times New Roman" w:cs="Times New Roman" w:eastAsia="Times New Roman" w:hAnsi="Times New Roman"/>
          <w:i/>
          <w:iCs/>
          <w:sz w:val="24"/>
          <w:szCs w:val="24"/>
        </w:rPr>
        <w:t xml:space="preserve">Proceedings of the 30th ACM SIGKDD Conference on Knowledge Discovery and Data Mining</w:t>
      </w:r>
      <w:r>
        <w:rPr>
          <w:rFonts w:ascii="Times New Roman" w:cs="Times New Roman" w:eastAsia="Times New Roman" w:hAnsi="Times New Roman"/>
          <w:sz w:val="24"/>
          <w:szCs w:val="24"/>
        </w:rPr>
        <w:t xml:space="preserve"> (pp. 6491–6501). https://doi.org/10.1145/3637528.3671470</w:t>
      </w:r>
    </w:p>
    <w:p>
      <w:pPr>
        <w:spacing w:line="480"/>
        <w:ind w:left="720" w:hanging="720"/>
      </w:pPr>
      <w:r>
        <w:rPr>
          <w:rFonts w:ascii="Times New Roman" w:cs="Times New Roman" w:eastAsia="Times New Roman" w:hAnsi="Times New Roman"/>
          <w:sz w:val="24"/>
          <w:szCs w:val="24"/>
        </w:rPr>
        <w:t xml:space="preserve">Gao, Y., Xiong, Y., Gao, X., et al. (2023). </w:t>
      </w:r>
      <w:r>
        <w:rPr>
          <w:rFonts w:ascii="Times New Roman" w:cs="Times New Roman" w:eastAsia="Times New Roman" w:hAnsi="Times New Roman"/>
          <w:i/>
          <w:iCs/>
          <w:sz w:val="24"/>
          <w:szCs w:val="24"/>
        </w:rPr>
        <w:t xml:space="preserve">Retrieval-augmented generation for large language models: A survey</w:t>
      </w:r>
      <w:r>
        <w:rPr>
          <w:rFonts w:ascii="Times New Roman" w:cs="Times New Roman" w:eastAsia="Times New Roman" w:hAnsi="Times New Roman"/>
          <w:sz w:val="24"/>
          <w:szCs w:val="24"/>
        </w:rPr>
        <w:t xml:space="preserve"> (arXiv:2312.10997). arXiv. https://doi.org/10.48550/arXiv.2312.10997</w:t>
      </w:r>
    </w:p>
    <w:p>
      <w:pPr>
        <w:spacing w:line="480"/>
        <w:ind w:left="720" w:hanging="720"/>
      </w:pPr>
      <w:r>
        <w:rPr>
          <w:rFonts w:ascii="Times New Roman" w:cs="Times New Roman" w:eastAsia="Times New Roman" w:hAnsi="Times New Roman"/>
          <w:sz w:val="24"/>
          <w:szCs w:val="24"/>
        </w:rPr>
        <w:t xml:space="preserve">Githinji, S., &amp; Maina, C. W. (2023). Anomaly detection on time series sensor data using deep LSTM-autoencoder. In </w:t>
      </w:r>
      <w:r>
        <w:rPr>
          <w:rFonts w:ascii="Times New Roman" w:cs="Times New Roman" w:eastAsia="Times New Roman" w:hAnsi="Times New Roman"/>
          <w:i/>
          <w:iCs/>
          <w:sz w:val="24"/>
          <w:szCs w:val="24"/>
        </w:rPr>
        <w:t xml:space="preserve">2023 IEEE AFRICON</w:t>
      </w:r>
      <w:r>
        <w:rPr>
          <w:rFonts w:ascii="Times New Roman" w:cs="Times New Roman" w:eastAsia="Times New Roman" w:hAnsi="Times New Roman"/>
          <w:sz w:val="24"/>
          <w:szCs w:val="24"/>
        </w:rPr>
        <w:t xml:space="preserve"> (pp. 1–6). https://doi.org/10.1109/AFRICON55910.2023.10293676</w:t>
      </w:r>
    </w:p>
    <w:p>
      <w:pPr>
        <w:spacing w:line="480"/>
        <w:ind w:left="720" w:hanging="720"/>
      </w:pPr>
      <w:r>
        <w:rPr>
          <w:rFonts w:ascii="Times New Roman" w:cs="Times New Roman" w:eastAsia="Times New Roman" w:hAnsi="Times New Roman"/>
          <w:sz w:val="24"/>
          <w:szCs w:val="24"/>
        </w:rPr>
        <w:t xml:space="preserve">Gruver, N., Finzi, M., Qiu, S., &amp; Wilson, A. G. (2023). Large language models are zero-shot time series forecasters. In </w:t>
      </w:r>
      <w:r>
        <w:rPr>
          <w:rFonts w:ascii="Times New Roman" w:cs="Times New Roman" w:eastAsia="Times New Roman" w:hAnsi="Times New Roman"/>
          <w:i/>
          <w:iCs/>
          <w:sz w:val="24"/>
          <w:szCs w:val="24"/>
        </w:rPr>
        <w:t xml:space="preserve">Advances in Neural Information Processing Systems 36 (NeurIPS 2023)</w:t>
      </w:r>
      <w:r>
        <w:rPr>
          <w:rFonts w:ascii="Times New Roman" w:cs="Times New Roman" w:eastAsia="Times New Roman" w:hAnsi="Times New Roman"/>
          <w:sz w:val="24"/>
          <w:szCs w:val="24"/>
        </w:rPr>
        <w:t xml:space="preserve">. https://arxiv.org/abs/2310.07820</w:t>
      </w:r>
    </w:p>
    <w:p>
      <w:pPr>
        <w:spacing w:line="480"/>
        <w:ind w:left="720" w:hanging="720"/>
      </w:pPr>
      <w:r>
        <w:rPr>
          <w:rFonts w:ascii="Times New Roman" w:cs="Times New Roman" w:eastAsia="Times New Roman" w:hAnsi="Times New Roman"/>
          <w:sz w:val="24"/>
          <w:szCs w:val="24"/>
        </w:rPr>
        <w:t xml:space="preserve">Han, J., Hong, J., Chen, X., et al. (2024). Integrating convolutional attention and encoder–decoder long short-term memory for enhanced soil moisture prediction. </w:t>
      </w:r>
      <w:r>
        <w:rPr>
          <w:rFonts w:ascii="Times New Roman" w:cs="Times New Roman" w:eastAsia="Times New Roman" w:hAnsi="Times New Roman"/>
          <w:i/>
          <w:iCs/>
          <w:sz w:val="24"/>
          <w:szCs w:val="24"/>
        </w:rPr>
        <w:t xml:space="preserve">Water, </w:t>
      </w:r>
      <w:r>
        <w:rPr>
          <w:rFonts w:ascii="Times New Roman" w:cs="Times New Roman" w:eastAsia="Times New Roman" w:hAnsi="Times New Roman"/>
          <w:i/>
          <w:iCs/>
          <w:sz w:val="24"/>
          <w:szCs w:val="24"/>
        </w:rPr>
        <w:t xml:space="preserve">16</w:t>
      </w:r>
      <w:r>
        <w:rPr>
          <w:rFonts w:ascii="Times New Roman" w:cs="Times New Roman" w:eastAsia="Times New Roman" w:hAnsi="Times New Roman"/>
          <w:sz w:val="24"/>
          <w:szCs w:val="24"/>
        </w:rPr>
        <w:t xml:space="preserve">(23), Article 3481. https://doi.org/10.3390/w16233481</w:t>
      </w:r>
    </w:p>
    <w:p>
      <w:pPr>
        <w:spacing w:line="480"/>
        <w:ind w:left="720" w:hanging="720"/>
      </w:pPr>
      <w:r>
        <w:rPr>
          <w:rFonts w:ascii="Times New Roman" w:cs="Times New Roman" w:eastAsia="Times New Roman" w:hAnsi="Times New Roman"/>
          <w:sz w:val="24"/>
          <w:szCs w:val="24"/>
        </w:rPr>
        <w:t xml:space="preserve">Hewamalage, H., Ackermann, K., &amp; Bergmeir, C. (2023). Forecast evaluation for data scientists: Common pitfalls and best practices. </w:t>
      </w:r>
      <w:r>
        <w:rPr>
          <w:rFonts w:ascii="Times New Roman" w:cs="Times New Roman" w:eastAsia="Times New Roman" w:hAnsi="Times New Roman"/>
          <w:i/>
          <w:iCs/>
          <w:sz w:val="24"/>
          <w:szCs w:val="24"/>
        </w:rPr>
        <w:t xml:space="preserve">Data Mining and Knowledge Discovery, </w:t>
      </w:r>
      <w:r>
        <w:rPr>
          <w:rFonts w:ascii="Times New Roman" w:cs="Times New Roman" w:eastAsia="Times New Roman" w:hAnsi="Times New Roman"/>
          <w:i/>
          <w:iCs/>
          <w:sz w:val="24"/>
          <w:szCs w:val="24"/>
        </w:rPr>
        <w:t xml:space="preserve">37</w:t>
      </w:r>
      <w:r>
        <w:rPr>
          <w:rFonts w:ascii="Times New Roman" w:cs="Times New Roman" w:eastAsia="Times New Roman" w:hAnsi="Times New Roman"/>
          <w:sz w:val="24"/>
          <w:szCs w:val="24"/>
        </w:rPr>
        <w:t xml:space="preserve">(2), 788–832. https://doi.org/10.1007/s10618-022-00894-5</w:t>
      </w:r>
    </w:p>
    <w:p>
      <w:pPr>
        <w:spacing w:line="480"/>
        <w:ind w:left="720" w:hanging="720"/>
      </w:pPr>
      <w:r>
        <w:rPr>
          <w:rFonts w:ascii="Times New Roman" w:cs="Times New Roman" w:eastAsia="Times New Roman" w:hAnsi="Times New Roman"/>
          <w:sz w:val="24"/>
          <w:szCs w:val="24"/>
        </w:rPr>
        <w:t xml:space="preserve">Huang, L., Yu, W., Ma, W., et al. (2025). A survey on hallucination in large language models: Principles, taxonomy, challenges, and open questions. </w:t>
      </w:r>
      <w:r>
        <w:rPr>
          <w:rFonts w:ascii="Times New Roman" w:cs="Times New Roman" w:eastAsia="Times New Roman" w:hAnsi="Times New Roman"/>
          <w:i/>
          <w:iCs/>
          <w:sz w:val="24"/>
          <w:szCs w:val="24"/>
        </w:rPr>
        <w:t xml:space="preserve">ACM Transactions on Information Systems, </w:t>
      </w:r>
      <w:r>
        <w:rPr>
          <w:rFonts w:ascii="Times New Roman" w:cs="Times New Roman" w:eastAsia="Times New Roman" w:hAnsi="Times New Roman"/>
          <w:i/>
          <w:iCs/>
          <w:sz w:val="24"/>
          <w:szCs w:val="24"/>
        </w:rPr>
        <w:t xml:space="preserve">43</w:t>
      </w:r>
      <w:r>
        <w:rPr>
          <w:rFonts w:ascii="Times New Roman" w:cs="Times New Roman" w:eastAsia="Times New Roman" w:hAnsi="Times New Roman"/>
          <w:sz w:val="24"/>
          <w:szCs w:val="24"/>
        </w:rPr>
        <w:t xml:space="preserve">(2), 1–55. https://doi.org/10.1145/3703155</w:t>
      </w:r>
    </w:p>
    <w:p>
      <w:pPr>
        <w:spacing w:line="480"/>
        <w:ind w:left="720" w:hanging="720"/>
      </w:pPr>
      <w:r>
        <w:rPr>
          <w:rFonts w:ascii="Times New Roman" w:cs="Times New Roman" w:eastAsia="Times New Roman" w:hAnsi="Times New Roman"/>
          <w:sz w:val="24"/>
          <w:szCs w:val="24"/>
        </w:rPr>
        <w:t xml:space="preserve">Ibrahim, A., Senthilkumar, K., &amp; Saito, K. (2024). Evaluating responses by ChatGPT to farmers’ questions on irrigated lowland rice cultivation in Nigeria. </w:t>
      </w:r>
      <w:r>
        <w:rPr>
          <w:rFonts w:ascii="Times New Roman" w:cs="Times New Roman" w:eastAsia="Times New Roman" w:hAnsi="Times New Roman"/>
          <w:i/>
          <w:iCs/>
          <w:sz w:val="24"/>
          <w:szCs w:val="24"/>
        </w:rPr>
        <w:t xml:space="preserve">Scientific Reports,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 Article 3407. https://doi.org/10.1038/s41598-024-53916-1</w:t>
      </w:r>
    </w:p>
    <w:p>
      <w:pPr>
        <w:spacing w:line="480"/>
        <w:ind w:left="720" w:hanging="720"/>
      </w:pPr>
      <w:r>
        <w:rPr>
          <w:rFonts w:ascii="Times New Roman" w:cs="Times New Roman" w:eastAsia="Times New Roman" w:hAnsi="Times New Roman"/>
          <w:sz w:val="24"/>
          <w:szCs w:val="24"/>
        </w:rPr>
        <w:t xml:space="preserve">Islam, M. B., Guerrieri, A., Gravina, R., Delaney, D. T., &amp; Fortino, G. (2025). From traditional machine learning to fine-tuning large language models: A review for sensors-based soil moisture forecasting. </w:t>
      </w:r>
      <w:r>
        <w:rPr>
          <w:rFonts w:ascii="Times New Roman" w:cs="Times New Roman" w:eastAsia="Times New Roman" w:hAnsi="Times New Roman"/>
          <w:i/>
          <w:iCs/>
          <w:sz w:val="24"/>
          <w:szCs w:val="24"/>
        </w:rPr>
        <w:t xml:space="preserve">Sensors,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sz w:val="24"/>
          <w:szCs w:val="24"/>
        </w:rPr>
        <w:t xml:space="preserve">(22), Article 6903. https://doi.org/10.3390/s25226903</w:t>
      </w:r>
    </w:p>
    <w:p>
      <w:pPr>
        <w:spacing w:line="480"/>
        <w:ind w:left="720" w:hanging="720"/>
      </w:pPr>
      <w:r>
        <w:rPr>
          <w:rFonts w:ascii="Times New Roman" w:cs="Times New Roman" w:eastAsia="Times New Roman" w:hAnsi="Times New Roman"/>
          <w:sz w:val="24"/>
          <w:szCs w:val="24"/>
        </w:rPr>
        <w:t xml:space="preserve">Islam, M. R., Oliullah, K., Kabir, M. M., Alom, M., &amp; Mridha, M. F. (2023). Machine learning enabled IoT system for soil nutrients monitoring and crop recommendation. </w:t>
      </w:r>
      <w:r>
        <w:rPr>
          <w:rFonts w:ascii="Times New Roman" w:cs="Times New Roman" w:eastAsia="Times New Roman" w:hAnsi="Times New Roman"/>
          <w:i/>
          <w:iCs/>
          <w:sz w:val="24"/>
          <w:szCs w:val="24"/>
        </w:rPr>
        <w:t xml:space="preserve">Journal of Agriculture and Food Research,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 Article 100880. https://doi.org/10.1016/j.jafr.2023.100880</w:t>
      </w:r>
    </w:p>
    <w:p>
      <w:pPr>
        <w:spacing w:line="480"/>
        <w:ind w:left="720" w:hanging="720"/>
      </w:pPr>
      <w:r>
        <w:rPr>
          <w:rFonts w:ascii="Times New Roman" w:cs="Times New Roman" w:eastAsia="Times New Roman" w:hAnsi="Times New Roman"/>
          <w:sz w:val="24"/>
          <w:szCs w:val="24"/>
        </w:rPr>
        <w:t xml:space="preserve">Ivanova, I. (2025). Soil moisture forecasting from sensors-based soil moisture, weather and irrigation observations: A systematic review. </w:t>
      </w:r>
      <w:r>
        <w:rPr>
          <w:rFonts w:ascii="Times New Roman" w:cs="Times New Roman" w:eastAsia="Times New Roman" w:hAnsi="Times New Roman"/>
          <w:i/>
          <w:iCs/>
          <w:sz w:val="24"/>
          <w:szCs w:val="24"/>
        </w:rPr>
        <w:t xml:space="preserve">Smart Agricultural Technology,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 Article 100692. https://doi.org/10.1016/j.atech.2024.100692</w:t>
      </w:r>
    </w:p>
    <w:p>
      <w:pPr>
        <w:spacing w:line="480"/>
        <w:ind w:left="720" w:hanging="720"/>
      </w:pPr>
      <w:r>
        <w:rPr>
          <w:rFonts w:ascii="Times New Roman" w:cs="Times New Roman" w:eastAsia="Times New Roman" w:hAnsi="Times New Roman"/>
          <w:sz w:val="24"/>
          <w:szCs w:val="24"/>
        </w:rPr>
        <w:t xml:space="preserve">Ji, Z., Lee, N., Frieske, R., et al. (2023). Survey of hallucination in natural language generation. </w:t>
      </w:r>
      <w:r>
        <w:rPr>
          <w:rFonts w:ascii="Times New Roman" w:cs="Times New Roman" w:eastAsia="Times New Roman" w:hAnsi="Times New Roman"/>
          <w:i/>
          <w:iCs/>
          <w:sz w:val="24"/>
          <w:szCs w:val="24"/>
        </w:rPr>
        <w:t xml:space="preserve">ACM Computing Surveys, </w:t>
      </w:r>
      <w:r>
        <w:rPr>
          <w:rFonts w:ascii="Times New Roman" w:cs="Times New Roman" w:eastAsia="Times New Roman" w:hAnsi="Times New Roman"/>
          <w:i/>
          <w:iCs/>
          <w:sz w:val="24"/>
          <w:szCs w:val="24"/>
        </w:rPr>
        <w:t xml:space="preserve">55</w:t>
      </w:r>
      <w:r>
        <w:rPr>
          <w:rFonts w:ascii="Times New Roman" w:cs="Times New Roman" w:eastAsia="Times New Roman" w:hAnsi="Times New Roman"/>
          <w:sz w:val="24"/>
          <w:szCs w:val="24"/>
        </w:rPr>
        <w:t xml:space="preserve">(12), 1–38. https://doi.org/10.1145/3571730</w:t>
      </w:r>
    </w:p>
    <w:p>
      <w:pPr>
        <w:spacing w:line="480"/>
        <w:ind w:left="720" w:hanging="720"/>
      </w:pPr>
      <w:r>
        <w:rPr>
          <w:rFonts w:ascii="Times New Roman" w:cs="Times New Roman" w:eastAsia="Times New Roman" w:hAnsi="Times New Roman"/>
          <w:sz w:val="24"/>
          <w:szCs w:val="24"/>
        </w:rPr>
        <w:t xml:space="preserve">Jin, M., Wang, S., Ma, L., Chu, Z., Zhang, J. Y., Shi, X., Chen, P.-Y., Liang, Y., Li, Y.-F., Pan, S., &amp; Wen, Q. (2024a). Time-LLM: Time series forecasting by reprogramming large language models. In </w:t>
      </w:r>
      <w:r>
        <w:rPr>
          <w:rFonts w:ascii="Times New Roman" w:cs="Times New Roman" w:eastAsia="Times New Roman" w:hAnsi="Times New Roman"/>
          <w:i/>
          <w:iCs/>
          <w:sz w:val="24"/>
          <w:szCs w:val="24"/>
        </w:rPr>
        <w:t xml:space="preserve">International Conference on Learning Representations (ICLR 2024)</w:t>
      </w:r>
      <w:r>
        <w:rPr>
          <w:rFonts w:ascii="Times New Roman" w:cs="Times New Roman" w:eastAsia="Times New Roman" w:hAnsi="Times New Roman"/>
          <w:sz w:val="24"/>
          <w:szCs w:val="24"/>
        </w:rPr>
        <w:t xml:space="preserve">. https://arxiv.org/abs/2310.01728</w:t>
      </w:r>
    </w:p>
    <w:p>
      <w:pPr>
        <w:spacing w:line="480"/>
        <w:ind w:left="720" w:hanging="720"/>
      </w:pPr>
      <w:r>
        <w:rPr>
          <w:rFonts w:ascii="Times New Roman" w:cs="Times New Roman" w:eastAsia="Times New Roman" w:hAnsi="Times New Roman"/>
          <w:sz w:val="24"/>
          <w:szCs w:val="24"/>
        </w:rPr>
        <w:t xml:space="preserve">Jin, M., Zhang, Y., Chen, W., Zhang, K., Liang, Y., Yang, B., Wang, J., Pan, S., &amp; Wen, Q. (2024b). Position: What can large language models tell us about time series analysis. In </w:t>
      </w:r>
      <w:r>
        <w:rPr>
          <w:rFonts w:ascii="Times New Roman" w:cs="Times New Roman" w:eastAsia="Times New Roman" w:hAnsi="Times New Roman"/>
          <w:i/>
          <w:iCs/>
          <w:sz w:val="24"/>
          <w:szCs w:val="24"/>
        </w:rPr>
        <w:t xml:space="preserve">Proceedings of the 41st International Conference on Machine Learning (Proceedings of Machine Learning Research, Vol. 235)</w:t>
      </w:r>
      <w:r>
        <w:rPr>
          <w:rFonts w:ascii="Times New Roman" w:cs="Times New Roman" w:eastAsia="Times New Roman" w:hAnsi="Times New Roman"/>
          <w:sz w:val="24"/>
          <w:szCs w:val="24"/>
        </w:rPr>
        <w:t xml:space="preserve"> (pp. 22260–22276).</w:t>
      </w:r>
    </w:p>
    <w:p>
      <w:pPr>
        <w:spacing w:line="480"/>
        <w:ind w:left="720" w:hanging="720"/>
      </w:pPr>
      <w:r>
        <w:rPr>
          <w:rFonts w:ascii="Times New Roman" w:cs="Times New Roman" w:eastAsia="Times New Roman" w:hAnsi="Times New Roman"/>
          <w:sz w:val="24"/>
          <w:szCs w:val="24"/>
        </w:rPr>
        <w:t xml:space="preserve">Kandamali, D. F., Porter, E., Porter, W. M., et al. (2025). Hybrid LSTM method for multistep soil moisture prediction using historical soil moisture and weather data. </w:t>
      </w:r>
      <w:r>
        <w:rPr>
          <w:rFonts w:ascii="Times New Roman" w:cs="Times New Roman" w:eastAsia="Times New Roman" w:hAnsi="Times New Roman"/>
          <w:i/>
          <w:iCs/>
          <w:sz w:val="24"/>
          <w:szCs w:val="24"/>
        </w:rPr>
        <w:t xml:space="preserve">AgriEngineering,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(8), Article 260. https://doi.org/10.3390/agriengineering7080260</w:t>
      </w:r>
    </w:p>
    <w:p>
      <w:pPr>
        <w:spacing w:line="480"/>
        <w:ind w:left="720" w:hanging="720"/>
      </w:pPr>
      <w:r>
        <w:rPr>
          <w:rFonts w:ascii="Times New Roman" w:cs="Times New Roman" w:eastAsia="Times New Roman" w:hAnsi="Times New Roman"/>
          <w:sz w:val="24"/>
          <w:szCs w:val="24"/>
        </w:rPr>
        <w:t xml:space="preserve">Kim, Y., Xu, X., McDuff, D., Breazeal, C., &amp; Park, H. W. (2024). Health-LLM: Large language models for health prediction via wearable sensor data. In </w:t>
      </w:r>
      <w:r>
        <w:rPr>
          <w:rFonts w:ascii="Times New Roman" w:cs="Times New Roman" w:eastAsia="Times New Roman" w:hAnsi="Times New Roman"/>
          <w:i/>
          <w:iCs/>
          <w:sz w:val="24"/>
          <w:szCs w:val="24"/>
        </w:rPr>
        <w:t xml:space="preserve">Proceedings of the Fifth Conference on Health, Inference, and Learning (Proceedings of Machine Learning Research, Vol. 248)</w:t>
      </w:r>
      <w:r>
        <w:rPr>
          <w:rFonts w:ascii="Times New Roman" w:cs="Times New Roman" w:eastAsia="Times New Roman" w:hAnsi="Times New Roman"/>
          <w:sz w:val="24"/>
          <w:szCs w:val="24"/>
        </w:rPr>
        <w:t xml:space="preserve"> (pp. 522–539).</w:t>
      </w:r>
    </w:p>
    <w:p>
      <w:pPr>
        <w:spacing w:line="480"/>
        <w:ind w:left="720" w:hanging="720"/>
      </w:pPr>
      <w:r>
        <w:rPr>
          <w:rFonts w:ascii="Times New Roman" w:cs="Times New Roman" w:eastAsia="Times New Roman" w:hAnsi="Times New Roman"/>
          <w:sz w:val="24"/>
          <w:szCs w:val="24"/>
        </w:rPr>
        <w:t xml:space="preserve">Koné, B. A. T., Grati, R., Bouaziz, B., &amp; Boukadi, K. (2023). A new long short-term memory based approach for soil moisture prediction. </w:t>
      </w:r>
      <w:r>
        <w:rPr>
          <w:rFonts w:ascii="Times New Roman" w:cs="Times New Roman" w:eastAsia="Times New Roman" w:hAnsi="Times New Roman"/>
          <w:i/>
          <w:iCs/>
          <w:sz w:val="24"/>
          <w:szCs w:val="24"/>
        </w:rPr>
        <w:t xml:space="preserve">Journal of Ambient Intelligence and Smart Environments,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(3), 255–268. https://doi.org/10.3233/AIS-230035</w:t>
      </w:r>
    </w:p>
    <w:p>
      <w:pPr>
        <w:spacing w:line="480"/>
        <w:ind w:left="720" w:hanging="720"/>
      </w:pPr>
      <w:r>
        <w:rPr>
          <w:rFonts w:ascii="Times New Roman" w:cs="Times New Roman" w:eastAsia="Times New Roman" w:hAnsi="Times New Roman"/>
          <w:sz w:val="24"/>
          <w:szCs w:val="24"/>
        </w:rPr>
        <w:t xml:space="preserve">Koopman, B., Mourad, A., Li, H., et al. (2023). AgAsk: An agent to help answer farmer’s questions from scientific documents. </w:t>
      </w:r>
      <w:r>
        <w:rPr>
          <w:rFonts w:ascii="Times New Roman" w:cs="Times New Roman" w:eastAsia="Times New Roman" w:hAnsi="Times New Roman"/>
          <w:i/>
          <w:iCs/>
          <w:sz w:val="24"/>
          <w:szCs w:val="24"/>
        </w:rPr>
        <w:t xml:space="preserve">International Journal on Digital Libraries,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sz w:val="24"/>
          <w:szCs w:val="24"/>
        </w:rPr>
        <w:t xml:space="preserve">(4), 569–584. https://doi.org/10.1007/s00799-023-00369-y</w:t>
      </w:r>
    </w:p>
    <w:p>
      <w:pPr>
        <w:spacing w:line="480"/>
        <w:ind w:left="720" w:hanging="720"/>
      </w:pPr>
      <w:r>
        <w:rPr>
          <w:rFonts w:ascii="Times New Roman" w:cs="Times New Roman" w:eastAsia="Times New Roman" w:hAnsi="Times New Roman"/>
          <w:sz w:val="24"/>
          <w:szCs w:val="24"/>
        </w:rPr>
        <w:t xml:space="preserve">Li, L., Dai, Y., Shangguan, W., Wei, N., Wei, Z., &amp; Gupta, S. (2022). Multistep forecasting of soil moisture using spatiotemporal deep encoder–decoder networks. </w:t>
      </w:r>
      <w:r>
        <w:rPr>
          <w:rFonts w:ascii="Times New Roman" w:cs="Times New Roman" w:eastAsia="Times New Roman" w:hAnsi="Times New Roman"/>
          <w:i/>
          <w:iCs/>
          <w:sz w:val="24"/>
          <w:szCs w:val="24"/>
        </w:rPr>
        <w:t xml:space="preserve">Journal of Hydrometeorology, </w:t>
      </w:r>
      <w:r>
        <w:rPr>
          <w:rFonts w:ascii="Times New Roman" w:cs="Times New Roman" w:eastAsia="Times New Roman" w:hAnsi="Times New Roman"/>
          <w:i/>
          <w:iCs/>
          <w:sz w:val="24"/>
          <w:szCs w:val="24"/>
        </w:rPr>
        <w:t xml:space="preserve">23</w:t>
      </w:r>
      <w:r>
        <w:rPr>
          <w:rFonts w:ascii="Times New Roman" w:cs="Times New Roman" w:eastAsia="Times New Roman" w:hAnsi="Times New Roman"/>
          <w:sz w:val="24"/>
          <w:szCs w:val="24"/>
        </w:rPr>
        <w:t xml:space="preserve">(3), 337–350. https://doi.org/10.1175/JHM-D-21-0131.1</w:t>
      </w:r>
    </w:p>
    <w:p>
      <w:pPr>
        <w:spacing w:line="480"/>
        <w:ind w:left="720" w:hanging="720"/>
      </w:pPr>
      <w:r>
        <w:rPr>
          <w:rFonts w:ascii="Times New Roman" w:cs="Times New Roman" w:eastAsia="Times New Roman" w:hAnsi="Times New Roman"/>
          <w:sz w:val="24"/>
          <w:szCs w:val="24"/>
        </w:rPr>
        <w:t xml:space="preserve">Li, Q., Li, Z., Shangguan, W., Wang, X., Li, L., &amp; Yu, F. (2022). Improving soil moisture prediction using a novel encoder-decoder model with residual learning. </w:t>
      </w:r>
      <w:r>
        <w:rPr>
          <w:rFonts w:ascii="Times New Roman" w:cs="Times New Roman" w:eastAsia="Times New Roman" w:hAnsi="Times New Roman"/>
          <w:i/>
          <w:iCs/>
          <w:sz w:val="24"/>
          <w:szCs w:val="24"/>
        </w:rPr>
        <w:t xml:space="preserve">Computers and Electronics in Agriculture, </w:t>
      </w:r>
      <w:r>
        <w:rPr>
          <w:rFonts w:ascii="Times New Roman" w:cs="Times New Roman" w:eastAsia="Times New Roman" w:hAnsi="Times New Roman"/>
          <w:i/>
          <w:iCs/>
          <w:sz w:val="24"/>
          <w:szCs w:val="24"/>
        </w:rPr>
        <w:t xml:space="preserve">195</w:t>
      </w:r>
      <w:r>
        <w:rPr>
          <w:rFonts w:ascii="Times New Roman" w:cs="Times New Roman" w:eastAsia="Times New Roman" w:hAnsi="Times New Roman"/>
          <w:sz w:val="24"/>
          <w:szCs w:val="24"/>
        </w:rPr>
        <w:t xml:space="preserve">, Article 106816. https://doi.org/10.1016/j.compag.2022.106816</w:t>
      </w:r>
    </w:p>
    <w:p>
      <w:pPr>
        <w:spacing w:line="480"/>
        <w:ind w:left="720" w:hanging="720"/>
      </w:pPr>
      <w:r>
        <w:rPr>
          <w:rFonts w:ascii="Times New Roman" w:cs="Times New Roman" w:eastAsia="Times New Roman" w:hAnsi="Times New Roman"/>
          <w:sz w:val="24"/>
          <w:szCs w:val="24"/>
        </w:rPr>
        <w:t xml:space="preserve">Lin, Y.-W., Lin, Y.-B., Chang, T. C.-Y., &amp; Lu, B.-X. (2023). An edge transfer learning approach for calibrating soil electrical conductivity sensors. </w:t>
      </w:r>
      <w:r>
        <w:rPr>
          <w:rFonts w:ascii="Times New Roman" w:cs="Times New Roman" w:eastAsia="Times New Roman" w:hAnsi="Times New Roman"/>
          <w:i/>
          <w:iCs/>
          <w:sz w:val="24"/>
          <w:szCs w:val="24"/>
        </w:rPr>
        <w:t xml:space="preserve">Sensors, </w:t>
      </w:r>
      <w:r>
        <w:rPr>
          <w:rFonts w:ascii="Times New Roman" w:cs="Times New Roman" w:eastAsia="Times New Roman" w:hAnsi="Times New Roman"/>
          <w:i/>
          <w:iCs/>
          <w:sz w:val="24"/>
          <w:szCs w:val="24"/>
        </w:rPr>
        <w:t xml:space="preserve">23</w:t>
      </w:r>
      <w:r>
        <w:rPr>
          <w:rFonts w:ascii="Times New Roman" w:cs="Times New Roman" w:eastAsia="Times New Roman" w:hAnsi="Times New Roman"/>
          <w:sz w:val="24"/>
          <w:szCs w:val="24"/>
        </w:rPr>
        <w:t xml:space="preserve">(21), Article 8710. https://doi.org/10.3390/s23218710</w:t>
      </w:r>
    </w:p>
    <w:p>
      <w:pPr>
        <w:spacing w:line="480"/>
        <w:ind w:left="720" w:hanging="720"/>
      </w:pPr>
      <w:r>
        <w:rPr>
          <w:rFonts w:ascii="Times New Roman" w:cs="Times New Roman" w:eastAsia="Times New Roman" w:hAnsi="Times New Roman"/>
          <w:sz w:val="24"/>
          <w:szCs w:val="24"/>
        </w:rPr>
        <w:t xml:space="preserve">Liu, N. F., Lin, K., Hewitt, J., et al. (2024). Lost in the middle: How language models use long contexts. </w:t>
      </w:r>
      <w:r>
        <w:rPr>
          <w:rFonts w:ascii="Times New Roman" w:cs="Times New Roman" w:eastAsia="Times New Roman" w:hAnsi="Times New Roman"/>
          <w:i/>
          <w:iCs/>
          <w:sz w:val="24"/>
          <w:szCs w:val="24"/>
        </w:rPr>
        <w:t xml:space="preserve">Transactions of the Association for Computational Linguistics,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 157–173. https://doi.org/10.1162/tacl_a_00638</w:t>
      </w:r>
    </w:p>
    <w:p>
      <w:pPr>
        <w:spacing w:line="480"/>
        <w:ind w:left="720" w:hanging="720"/>
      </w:pPr>
      <w:r>
        <w:rPr>
          <w:rFonts w:ascii="Times New Roman" w:cs="Times New Roman" w:eastAsia="Times New Roman" w:hAnsi="Times New Roman"/>
          <w:sz w:val="24"/>
          <w:szCs w:val="24"/>
        </w:rPr>
        <w:t xml:space="preserve">Lu, Z., Li, X., Cai, D., Yi, R., Liu, F., Zhang, X., Lane, N. D., &amp; Xu, M. (2024). </w:t>
      </w:r>
      <w:r>
        <w:rPr>
          <w:rFonts w:ascii="Times New Roman" w:cs="Times New Roman" w:eastAsia="Times New Roman" w:hAnsi="Times New Roman"/>
          <w:i/>
          <w:iCs/>
          <w:sz w:val="24"/>
          <w:szCs w:val="24"/>
        </w:rPr>
        <w:t xml:space="preserve">Small language models: Survey, measurements, and insights</w:t>
      </w:r>
      <w:r>
        <w:rPr>
          <w:rFonts w:ascii="Times New Roman" w:cs="Times New Roman" w:eastAsia="Times New Roman" w:hAnsi="Times New Roman"/>
          <w:sz w:val="24"/>
          <w:szCs w:val="24"/>
        </w:rPr>
        <w:t xml:space="preserve"> (arXiv:2409.15790). arXiv. https://doi.org/10.48550/arXiv.2409.15790</w:t>
      </w:r>
    </w:p>
    <w:p>
      <w:pPr>
        <w:spacing w:line="480"/>
        <w:ind w:left="720" w:hanging="720"/>
      </w:pPr>
      <w:r>
        <w:rPr>
          <w:rFonts w:ascii="Times New Roman" w:cs="Times New Roman" w:eastAsia="Times New Roman" w:hAnsi="Times New Roman"/>
          <w:sz w:val="24"/>
          <w:szCs w:val="24"/>
        </w:rPr>
        <w:t xml:space="preserve">Maertens, M., Oyinbo, O., Abdoulaye, T., &amp; Chamberlin, J. (2023). Sustainable maize intensification through site-specific nutrient management advice: Experimental evidence from Nigeria. </w:t>
      </w:r>
      <w:r>
        <w:rPr>
          <w:rFonts w:ascii="Times New Roman" w:cs="Times New Roman" w:eastAsia="Times New Roman" w:hAnsi="Times New Roman"/>
          <w:i/>
          <w:iCs/>
          <w:sz w:val="24"/>
          <w:szCs w:val="24"/>
        </w:rPr>
        <w:t xml:space="preserve">Food Policy, </w:t>
      </w:r>
      <w:r>
        <w:rPr>
          <w:rFonts w:ascii="Times New Roman" w:cs="Times New Roman" w:eastAsia="Times New Roman" w:hAnsi="Times New Roman"/>
          <w:i/>
          <w:iCs/>
          <w:sz w:val="24"/>
          <w:szCs w:val="24"/>
        </w:rPr>
        <w:t xml:space="preserve">121</w:t>
      </w:r>
      <w:r>
        <w:rPr>
          <w:rFonts w:ascii="Times New Roman" w:cs="Times New Roman" w:eastAsia="Times New Roman" w:hAnsi="Times New Roman"/>
          <w:sz w:val="24"/>
          <w:szCs w:val="24"/>
        </w:rPr>
        <w:t xml:space="preserve">, Article 102546. https://doi.org/10.1016/j.foodpol.2023.102546</w:t>
      </w:r>
    </w:p>
    <w:p>
      <w:pPr>
        <w:spacing w:line="480"/>
        <w:ind w:left="720" w:hanging="720"/>
      </w:pPr>
      <w:r>
        <w:rPr>
          <w:rFonts w:ascii="Times New Roman" w:cs="Times New Roman" w:eastAsia="Times New Roman" w:hAnsi="Times New Roman"/>
          <w:sz w:val="24"/>
          <w:szCs w:val="24"/>
        </w:rPr>
        <w:t xml:space="preserve">Maniam, S., Tee, Y.-K., Memar, E., Wong, H. Y., &amp; Zaman, M. (2026). Smart irrigation management: IoT-based RNN-LSTM model for soil moisture prediction in precision agriculture. </w:t>
      </w:r>
      <w:r>
        <w:rPr>
          <w:rFonts w:ascii="Times New Roman" w:cs="Times New Roman" w:eastAsia="Times New Roman" w:hAnsi="Times New Roman"/>
          <w:i/>
          <w:iCs/>
          <w:sz w:val="24"/>
          <w:szCs w:val="24"/>
        </w:rPr>
        <w:t xml:space="preserve">Smart Agricultural Technology,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 Article 101866. https://doi.org/10.1016/j.atech.2026.101866</w:t>
      </w:r>
    </w:p>
    <w:p>
      <w:pPr>
        <w:spacing w:line="480"/>
        <w:ind w:left="720" w:hanging="720"/>
      </w:pPr>
      <w:r>
        <w:rPr>
          <w:rFonts w:ascii="Times New Roman" w:cs="Times New Roman" w:eastAsia="Times New Roman" w:hAnsi="Times New Roman"/>
          <w:sz w:val="24"/>
          <w:szCs w:val="24"/>
        </w:rPr>
        <w:t xml:space="preserve">Mohamed, S. A., Abdel Maksoud, O. O., Fathy, A., et al. (2025). A hybrid deep learning and rule-based model for smart weather forecasting and crop recommendation using satellite imagery. </w:t>
      </w:r>
      <w:r>
        <w:rPr>
          <w:rFonts w:ascii="Times New Roman" w:cs="Times New Roman" w:eastAsia="Times New Roman" w:hAnsi="Times New Roman"/>
          <w:i/>
          <w:iCs/>
          <w:sz w:val="24"/>
          <w:szCs w:val="24"/>
        </w:rPr>
        <w:t xml:space="preserve">Scientific Reports,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 Article 36102. https://doi.org/10.1038/s41598-025-21506-4</w:t>
      </w:r>
    </w:p>
    <w:p>
      <w:pPr>
        <w:spacing w:line="480"/>
        <w:ind w:left="720" w:hanging="720"/>
      </w:pPr>
      <w:r>
        <w:rPr>
          <w:rFonts w:ascii="Times New Roman" w:cs="Times New Roman" w:eastAsia="Times New Roman" w:hAnsi="Times New Roman"/>
          <w:sz w:val="24"/>
          <w:szCs w:val="24"/>
        </w:rPr>
        <w:t xml:space="preserve">Mowla, M. N., Mowla, N., Shah, A. F. M. S., Rabie, K. M., &amp; Shongwe, T. (2023). Internet of things and wireless sensor networks for smart agriculture applications: A survey. </w:t>
      </w:r>
      <w:r>
        <w:rPr>
          <w:rFonts w:ascii="Times New Roman" w:cs="Times New Roman" w:eastAsia="Times New Roman" w:hAnsi="Times New Roman"/>
          <w:i/>
          <w:iCs/>
          <w:sz w:val="24"/>
          <w:szCs w:val="24"/>
        </w:rPr>
        <w:t xml:space="preserve">IEEE Access,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 145813–145852. https://doi.org/10.1109/ACCESS.2023.3346299</w:t>
      </w:r>
    </w:p>
    <w:p>
      <w:pPr>
        <w:spacing w:line="480"/>
        <w:ind w:left="720" w:hanging="720"/>
      </w:pPr>
      <w:r>
        <w:rPr>
          <w:rFonts w:ascii="Times New Roman" w:cs="Times New Roman" w:eastAsia="Times New Roman" w:hAnsi="Times New Roman"/>
          <w:sz w:val="24"/>
          <w:szCs w:val="24"/>
        </w:rPr>
        <w:t xml:space="preserve">Muennighoff, N., Tazi, N., Magne, L., &amp; Reimers, N. (2023). MTEB: Massive text embedding benchmark. In </w:t>
      </w:r>
      <w:r>
        <w:rPr>
          <w:rFonts w:ascii="Times New Roman" w:cs="Times New Roman" w:eastAsia="Times New Roman" w:hAnsi="Times New Roman"/>
          <w:i/>
          <w:iCs/>
          <w:sz w:val="24"/>
          <w:szCs w:val="24"/>
        </w:rPr>
        <w:t xml:space="preserve">Proceedings of the 17th Conference of the European Chapter of the Association for Computational Linguistics</w:t>
      </w:r>
      <w:r>
        <w:rPr>
          <w:rFonts w:ascii="Times New Roman" w:cs="Times New Roman" w:eastAsia="Times New Roman" w:hAnsi="Times New Roman"/>
          <w:sz w:val="24"/>
          <w:szCs w:val="24"/>
        </w:rPr>
        <w:t xml:space="preserve"> (pp. 2014–2037). https://doi.org/10.18653/v1/2023.eacl-main.148</w:t>
      </w:r>
    </w:p>
    <w:p>
      <w:pPr>
        <w:spacing w:line="480"/>
        <w:ind w:left="720" w:hanging="720"/>
      </w:pPr>
      <w:r>
        <w:rPr>
          <w:rFonts w:ascii="Times New Roman" w:cs="Times New Roman" w:eastAsia="Times New Roman" w:hAnsi="Times New Roman"/>
          <w:sz w:val="24"/>
          <w:szCs w:val="24"/>
        </w:rPr>
        <w:t xml:space="preserve">Musa, P., Sugeru, H., &amp; Wibowo, E. P. (2024). Wireless sensor networks for precision agriculture: A review of NPK sensor implementations. </w:t>
      </w:r>
      <w:r>
        <w:rPr>
          <w:rFonts w:ascii="Times New Roman" w:cs="Times New Roman" w:eastAsia="Times New Roman" w:hAnsi="Times New Roman"/>
          <w:i/>
          <w:iCs/>
          <w:sz w:val="24"/>
          <w:szCs w:val="24"/>
        </w:rPr>
        <w:t xml:space="preserve">Sensors, </w:t>
      </w:r>
      <w:r>
        <w:rPr>
          <w:rFonts w:ascii="Times New Roman" w:cs="Times New Roman" w:eastAsia="Times New Roman" w:hAnsi="Times New Roman"/>
          <w:i/>
          <w:iCs/>
          <w:sz w:val="24"/>
          <w:szCs w:val="24"/>
        </w:rPr>
        <w:t xml:space="preserve">24</w:t>
      </w:r>
      <w:r>
        <w:rPr>
          <w:rFonts w:ascii="Times New Roman" w:cs="Times New Roman" w:eastAsia="Times New Roman" w:hAnsi="Times New Roman"/>
          <w:sz w:val="24"/>
          <w:szCs w:val="24"/>
        </w:rPr>
        <w:t xml:space="preserve">(1), Article 51. https://doi.org/10.3390/s24010051</w:t>
      </w:r>
    </w:p>
    <w:p>
      <w:pPr>
        <w:spacing w:line="480"/>
        <w:ind w:left="720" w:hanging="720"/>
      </w:pPr>
      <w:r>
        <w:rPr>
          <w:rFonts w:ascii="Times New Roman" w:cs="Times New Roman" w:eastAsia="Times New Roman" w:hAnsi="Times New Roman"/>
          <w:sz w:val="24"/>
          <w:szCs w:val="24"/>
        </w:rPr>
        <w:t xml:space="preserve">Musanase, C., Vodacek, A., Hanyurwimfura, D., Uwitonze, A., &amp; Kabandana, I. (2023). Data-driven analysis and machine learning-based crop and fertilizer recommendation system for revolutionizing farming practices. </w:t>
      </w:r>
      <w:r>
        <w:rPr>
          <w:rFonts w:ascii="Times New Roman" w:cs="Times New Roman" w:eastAsia="Times New Roman" w:hAnsi="Times New Roman"/>
          <w:i/>
          <w:iCs/>
          <w:sz w:val="24"/>
          <w:szCs w:val="24"/>
        </w:rPr>
        <w:t xml:space="preserve">Agriculture,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(11), Article 2141. https://doi.org/10.3390/agriculture13112141</w:t>
      </w:r>
    </w:p>
    <w:p>
      <w:pPr>
        <w:spacing w:line="480"/>
        <w:ind w:left="720" w:hanging="720"/>
      </w:pPr>
      <w:r>
        <w:rPr>
          <w:rFonts w:ascii="Times New Roman" w:cs="Times New Roman" w:eastAsia="Times New Roman" w:hAnsi="Times New Roman"/>
          <w:sz w:val="24"/>
          <w:szCs w:val="24"/>
        </w:rPr>
        <w:t xml:space="preserve">Ojo, I. E., Akangbe, J. A., Kolawole, E. A., Owolabi, A. O., Obaniyi, K. S., Ayeni, M. D., Adeniyi, V. A., &amp; Awe, T. E. (2024). Constraints limiting the effectiveness of extension agents in disseminating climate-smart agricultural practices among rice farmers in north-central Nigeria. </w:t>
      </w:r>
      <w:r>
        <w:rPr>
          <w:rFonts w:ascii="Times New Roman" w:cs="Times New Roman" w:eastAsia="Times New Roman" w:hAnsi="Times New Roman"/>
          <w:i/>
          <w:iCs/>
          <w:sz w:val="24"/>
          <w:szCs w:val="24"/>
        </w:rPr>
        <w:t xml:space="preserve">Frontiers in Climate, </w:t>
      </w:r>
      <w:r>
        <w:rPr>
          <w:rFonts w:ascii="Times New Roman" w:cs="Times New Roman" w:eastAsia="Times New Roman" w:hAnsi="Times New Roman"/>
          <w:i/>
          <w:iCs/>
          <w:sz w:val="24"/>
          <w:szCs w:val="24"/>
        </w:rPr>
        <w:t xml:space="preserve">6</w:t>
      </w:r>
      <w:r>
        <w:rPr>
          <w:rFonts w:ascii="Times New Roman" w:cs="Times New Roman" w:eastAsia="Times New Roman" w:hAnsi="Times New Roman"/>
          <w:sz w:val="24"/>
          <w:szCs w:val="24"/>
        </w:rPr>
        <w:t xml:space="preserve">, Article 1297225. https://doi.org/10.3389/fclim.2024.1297225</w:t>
      </w:r>
    </w:p>
    <w:p>
      <w:pPr>
        <w:spacing w:line="480"/>
        <w:ind w:left="720" w:hanging="720"/>
      </w:pPr>
      <w:r>
        <w:rPr>
          <w:rFonts w:ascii="Times New Roman" w:cs="Times New Roman" w:eastAsia="Times New Roman" w:hAnsi="Times New Roman"/>
          <w:sz w:val="24"/>
          <w:szCs w:val="24"/>
        </w:rPr>
        <w:t xml:space="preserve">Okoh, S. A., Onwuka, E. N., Salihu, B. A., Zubairu, S., Dibal, P. Y., &amp; Nwankwo, E. (2023). Development of IoT cloud-based platform for smart farming in the sub-Saharan Africa with implementation of smart-irrigation as test-case. </w:t>
      </w:r>
      <w:r>
        <w:rPr>
          <w:rFonts w:ascii="Times New Roman" w:cs="Times New Roman" w:eastAsia="Times New Roman" w:hAnsi="Times New Roman"/>
          <w:i/>
          <w:iCs/>
          <w:sz w:val="24"/>
          <w:szCs w:val="24"/>
        </w:rPr>
        <w:t xml:space="preserve">International Journal of Information Technology and Computer Science,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(2), 1–14. https://doi.org/10.5815/ijitcs.2023.02.01</w:t>
      </w:r>
    </w:p>
    <w:p>
      <w:pPr>
        <w:spacing w:line="480"/>
        <w:ind w:left="720" w:hanging="720"/>
      </w:pPr>
      <w:r>
        <w:rPr>
          <w:rFonts w:ascii="Times New Roman" w:cs="Times New Roman" w:eastAsia="Times New Roman" w:hAnsi="Times New Roman"/>
          <w:sz w:val="24"/>
          <w:szCs w:val="24"/>
        </w:rPr>
        <w:t xml:space="preserve">Pan, J. J., Wang, J., &amp; Li, G. (2024). Survey of vector database management systems. </w:t>
      </w:r>
      <w:r>
        <w:rPr>
          <w:rFonts w:ascii="Times New Roman" w:cs="Times New Roman" w:eastAsia="Times New Roman" w:hAnsi="Times New Roman"/>
          <w:i/>
          <w:iCs/>
          <w:sz w:val="24"/>
          <w:szCs w:val="24"/>
        </w:rPr>
        <w:t xml:space="preserve">The VLDB Journal, </w:t>
      </w:r>
      <w:r>
        <w:rPr>
          <w:rFonts w:ascii="Times New Roman" w:cs="Times New Roman" w:eastAsia="Times New Roman" w:hAnsi="Times New Roman"/>
          <w:i/>
          <w:iCs/>
          <w:sz w:val="24"/>
          <w:szCs w:val="24"/>
        </w:rPr>
        <w:t xml:space="preserve">33</w:t>
      </w:r>
      <w:r>
        <w:rPr>
          <w:rFonts w:ascii="Times New Roman" w:cs="Times New Roman" w:eastAsia="Times New Roman" w:hAnsi="Times New Roman"/>
          <w:sz w:val="24"/>
          <w:szCs w:val="24"/>
        </w:rPr>
        <w:t xml:space="preserve">(5), 1591–1615. https://doi.org/10.1007/s00778-024-00864-x</w:t>
      </w:r>
    </w:p>
    <w:p>
      <w:pPr>
        <w:spacing w:line="480"/>
        <w:ind w:left="720" w:hanging="720"/>
      </w:pPr>
      <w:r>
        <w:rPr>
          <w:rFonts w:ascii="Times New Roman" w:cs="Times New Roman" w:eastAsia="Times New Roman" w:hAnsi="Times New Roman"/>
          <w:sz w:val="24"/>
          <w:szCs w:val="24"/>
        </w:rPr>
        <w:t xml:space="preserve">Park, J., Seo, Y., &amp; Cho, J. (2023). Unsupervised outlier detection for time-series data of indoor air quality using LSTM autoencoder with ensemble method. </w:t>
      </w:r>
      <w:r>
        <w:rPr>
          <w:rFonts w:ascii="Times New Roman" w:cs="Times New Roman" w:eastAsia="Times New Roman" w:hAnsi="Times New Roman"/>
          <w:i/>
          <w:iCs/>
          <w:sz w:val="24"/>
          <w:szCs w:val="24"/>
        </w:rPr>
        <w:t xml:space="preserve">Journal of Big Data,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 Article 66. https://doi.org/10.1186/s40537-023-00746-z</w:t>
      </w:r>
    </w:p>
    <w:p>
      <w:pPr>
        <w:spacing w:line="480"/>
        <w:ind w:left="720" w:hanging="720"/>
      </w:pPr>
      <w:r>
        <w:rPr>
          <w:rFonts w:ascii="Times New Roman" w:cs="Times New Roman" w:eastAsia="Times New Roman" w:hAnsi="Times New Roman"/>
          <w:sz w:val="24"/>
          <w:szCs w:val="24"/>
        </w:rPr>
        <w:t xml:space="preserve">Qin, Y., Liang, S., Ye, Y., et al. (2024). ToolLLM: Facilitating large language models to master 16000+ real-world APIs. In </w:t>
      </w:r>
      <w:r>
        <w:rPr>
          <w:rFonts w:ascii="Times New Roman" w:cs="Times New Roman" w:eastAsia="Times New Roman" w:hAnsi="Times New Roman"/>
          <w:i/>
          <w:iCs/>
          <w:sz w:val="24"/>
          <w:szCs w:val="24"/>
        </w:rPr>
        <w:t xml:space="preserve">International Conference on Learning Representations (ICLR 2024)</w:t>
      </w:r>
      <w:r>
        <w:rPr>
          <w:rFonts w:ascii="Times New Roman" w:cs="Times New Roman" w:eastAsia="Times New Roman" w:hAnsi="Times New Roman"/>
          <w:sz w:val="24"/>
          <w:szCs w:val="24"/>
        </w:rPr>
        <w:t xml:space="preserve">. https://arxiv.org/abs/2307.16789</w:t>
      </w:r>
    </w:p>
    <w:p>
      <w:pPr>
        <w:spacing w:line="480"/>
        <w:ind w:left="720" w:hanging="720"/>
      </w:pPr>
      <w:r>
        <w:rPr>
          <w:rFonts w:ascii="Times New Roman" w:cs="Times New Roman" w:eastAsia="Times New Roman" w:hAnsi="Times New Roman"/>
          <w:sz w:val="24"/>
          <w:szCs w:val="24"/>
        </w:rPr>
        <w:t xml:space="preserve">Ravindran, D. J. S., Skarga-Bandurova, I., V, S., Awais, M., &amp; S, M. (2026). AgroLLM: Connecting farmers and agricultural practices through large language models for enhanced knowledge transfer and practical application. </w:t>
      </w:r>
      <w:r>
        <w:rPr>
          <w:rFonts w:ascii="Times New Roman" w:cs="Times New Roman" w:eastAsia="Times New Roman" w:hAnsi="Times New Roman"/>
          <w:i/>
          <w:iCs/>
          <w:sz w:val="24"/>
          <w:szCs w:val="24"/>
        </w:rPr>
        <w:t xml:space="preserve">AgriEngineering,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(1), Article 38. https://doi.org/10.3390/agriengineering8010038</w:t>
      </w:r>
    </w:p>
    <w:p>
      <w:pPr>
        <w:spacing w:line="480"/>
        <w:ind w:left="720" w:hanging="720"/>
      </w:pPr>
      <w:r>
        <w:rPr>
          <w:rFonts w:ascii="Times New Roman" w:cs="Times New Roman" w:eastAsia="Times New Roman" w:hAnsi="Times New Roman"/>
          <w:sz w:val="24"/>
          <w:szCs w:val="24"/>
        </w:rPr>
        <w:t xml:space="preserve">Sawant, S., Nair, R., &amp; Hariharan, S. (2026). Empowering farmers with artificial intelligence: A retrieval-augmented generation based large language model advisory framework. </w:t>
      </w:r>
      <w:r>
        <w:rPr>
          <w:rFonts w:ascii="Times New Roman" w:cs="Times New Roman" w:eastAsia="Times New Roman" w:hAnsi="Times New Roman"/>
          <w:i/>
          <w:iCs/>
          <w:sz w:val="24"/>
          <w:szCs w:val="24"/>
        </w:rPr>
        <w:t xml:space="preserve">Journal of Agricultural Engineering, </w:t>
      </w:r>
      <w:r>
        <w:rPr>
          <w:rFonts w:ascii="Times New Roman" w:cs="Times New Roman" w:eastAsia="Times New Roman" w:hAnsi="Times New Roman"/>
          <w:i/>
          <w:iCs/>
          <w:sz w:val="24"/>
          <w:szCs w:val="24"/>
        </w:rPr>
        <w:t xml:space="preserve">57</w:t>
      </w:r>
      <w:r>
        <w:rPr>
          <w:rFonts w:ascii="Times New Roman" w:cs="Times New Roman" w:eastAsia="Times New Roman" w:hAnsi="Times New Roman"/>
          <w:sz w:val="24"/>
          <w:szCs w:val="24"/>
        </w:rPr>
        <w:t xml:space="preserve">(2), Article 1908. https://doi.org/10.4081/jae.2026.1908</w:t>
      </w:r>
    </w:p>
    <w:p>
      <w:pPr>
        <w:spacing w:line="480"/>
        <w:ind w:left="720" w:hanging="720"/>
      </w:pPr>
      <w:r>
        <w:rPr>
          <w:rFonts w:ascii="Times New Roman" w:cs="Times New Roman" w:eastAsia="Times New Roman" w:hAnsi="Times New Roman"/>
          <w:sz w:val="24"/>
          <w:szCs w:val="24"/>
        </w:rPr>
        <w:t xml:space="preserve">Sawarkar, K., Mangal, A., &amp; Solanki, S. R. (2024). Blended RAG: Improving RAG (retriever-augmented generation) accuracy with semantic search and hybrid query-based retrievers. In </w:t>
      </w:r>
      <w:r>
        <w:rPr>
          <w:rFonts w:ascii="Times New Roman" w:cs="Times New Roman" w:eastAsia="Times New Roman" w:hAnsi="Times New Roman"/>
          <w:i/>
          <w:iCs/>
          <w:sz w:val="24"/>
          <w:szCs w:val="24"/>
        </w:rPr>
        <w:t xml:space="preserve">2024 IEEE 7th International Conference on Multimedia Information Processing and Retrieval (MIPR)</w:t>
      </w:r>
      <w:r>
        <w:rPr>
          <w:rFonts w:ascii="Times New Roman" w:cs="Times New Roman" w:eastAsia="Times New Roman" w:hAnsi="Times New Roman"/>
          <w:sz w:val="24"/>
          <w:szCs w:val="24"/>
        </w:rPr>
        <w:t xml:space="preserve"> (pp. 155–161). https://doi.org/10.1109/MIPR62202.2024.00031</w:t>
      </w:r>
    </w:p>
    <w:p>
      <w:pPr>
        <w:spacing w:line="480"/>
        <w:ind w:left="720" w:hanging="720"/>
      </w:pPr>
      <w:r>
        <w:rPr>
          <w:rFonts w:ascii="Times New Roman" w:cs="Times New Roman" w:eastAsia="Times New Roman" w:hAnsi="Times New Roman"/>
          <w:sz w:val="24"/>
          <w:szCs w:val="24"/>
        </w:rPr>
        <w:t xml:space="preserve">Schick, T., Dwivedi-Yu, J., Dessì, R., et al. (2023). Toolformer: Language models can teach themselves to use tools. In </w:t>
      </w:r>
      <w:r>
        <w:rPr>
          <w:rFonts w:ascii="Times New Roman" w:cs="Times New Roman" w:eastAsia="Times New Roman" w:hAnsi="Times New Roman"/>
          <w:i/>
          <w:iCs/>
          <w:sz w:val="24"/>
          <w:szCs w:val="24"/>
        </w:rPr>
        <w:t xml:space="preserve">Advances in Neural Information Processing Systems 36 (NeurIPS 2023)</w:t>
      </w:r>
      <w:r>
        <w:rPr>
          <w:rFonts w:ascii="Times New Roman" w:cs="Times New Roman" w:eastAsia="Times New Roman" w:hAnsi="Times New Roman"/>
          <w:sz w:val="24"/>
          <w:szCs w:val="24"/>
        </w:rPr>
        <w:t xml:space="preserve">. https://arxiv.org/abs/2302.04761</w:t>
      </w:r>
    </w:p>
    <w:p>
      <w:pPr>
        <w:spacing w:line="480"/>
        <w:ind w:left="720" w:hanging="720"/>
      </w:pPr>
      <w:r>
        <w:rPr>
          <w:rFonts w:ascii="Times New Roman" w:cs="Times New Roman" w:eastAsia="Times New Roman" w:hAnsi="Times New Roman"/>
          <w:sz w:val="24"/>
          <w:szCs w:val="24"/>
        </w:rPr>
        <w:t xml:space="preserve">Schmidl, S., Wenig, P., &amp; Papenbrock, T. (2022). Anomaly detection in time series: A comprehensive evaluation. </w:t>
      </w:r>
      <w:r>
        <w:rPr>
          <w:rFonts w:ascii="Times New Roman" w:cs="Times New Roman" w:eastAsia="Times New Roman" w:hAnsi="Times New Roman"/>
          <w:i/>
          <w:iCs/>
          <w:sz w:val="24"/>
          <w:szCs w:val="24"/>
        </w:rPr>
        <w:t xml:space="preserve">Proceedings of the VLDB Endowment,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(9), 1779–1797. https://doi.org/10.14778/3538598.3538602</w:t>
      </w:r>
    </w:p>
    <w:p>
      <w:pPr>
        <w:spacing w:line="480"/>
        <w:ind w:left="720" w:hanging="720"/>
      </w:pPr>
      <w:r>
        <w:rPr>
          <w:rFonts w:ascii="Times New Roman" w:cs="Times New Roman" w:eastAsia="Times New Roman" w:hAnsi="Times New Roman"/>
          <w:sz w:val="24"/>
          <w:szCs w:val="24"/>
        </w:rPr>
        <w:t xml:space="preserve">Schwamback, D., Persson, M., Berndtsson, R., Bertotto, L. E., Kobayashi, A. N. A., &amp; Wendland, E. C. (2023). Automated low-cost soil moisture sensors: Trade-off between cost and accuracy. </w:t>
      </w:r>
      <w:r>
        <w:rPr>
          <w:rFonts w:ascii="Times New Roman" w:cs="Times New Roman" w:eastAsia="Times New Roman" w:hAnsi="Times New Roman"/>
          <w:i/>
          <w:iCs/>
          <w:sz w:val="24"/>
          <w:szCs w:val="24"/>
        </w:rPr>
        <w:t xml:space="preserve">Sensors, </w:t>
      </w:r>
      <w:r>
        <w:rPr>
          <w:rFonts w:ascii="Times New Roman" w:cs="Times New Roman" w:eastAsia="Times New Roman" w:hAnsi="Times New Roman"/>
          <w:i/>
          <w:iCs/>
          <w:sz w:val="24"/>
          <w:szCs w:val="24"/>
        </w:rPr>
        <w:t xml:space="preserve">23</w:t>
      </w:r>
      <w:r>
        <w:rPr>
          <w:rFonts w:ascii="Times New Roman" w:cs="Times New Roman" w:eastAsia="Times New Roman" w:hAnsi="Times New Roman"/>
          <w:sz w:val="24"/>
          <w:szCs w:val="24"/>
        </w:rPr>
        <w:t xml:space="preserve">(5), Article 2451. https://doi.org/10.3390/s23052451</w:t>
      </w:r>
    </w:p>
    <w:p>
      <w:pPr>
        <w:spacing w:line="480"/>
        <w:ind w:left="720" w:hanging="720"/>
      </w:pPr>
      <w:r>
        <w:rPr>
          <w:rFonts w:ascii="Times New Roman" w:cs="Times New Roman" w:eastAsia="Times New Roman" w:hAnsi="Times New Roman"/>
          <w:sz w:val="24"/>
          <w:szCs w:val="24"/>
        </w:rPr>
        <w:t xml:space="preserve">Shawon, S. M., Zaman, M., Maniam, S., et al. (2026). Explainable quantile CNN-LSTM model for uncertainty-aware multi-layer soil moisture prediction in tropical cocoa plantations. </w:t>
      </w:r>
      <w:r>
        <w:rPr>
          <w:rFonts w:ascii="Times New Roman" w:cs="Times New Roman" w:eastAsia="Times New Roman" w:hAnsi="Times New Roman"/>
          <w:i/>
          <w:iCs/>
          <w:sz w:val="24"/>
          <w:szCs w:val="24"/>
        </w:rPr>
        <w:t xml:space="preserve">Scientific Reports, </w:t>
      </w:r>
      <w:r>
        <w:rPr>
          <w:rFonts w:ascii="Times New Roman" w:cs="Times New Roman" w:eastAsia="Times New Roman" w:hAnsi="Times New Roman"/>
          <w:i/>
          <w:iCs/>
          <w:sz w:val="24"/>
          <w:szCs w:val="24"/>
        </w:rPr>
        <w:t xml:space="preserve">16</w:t>
      </w:r>
      <w:r>
        <w:rPr>
          <w:rFonts w:ascii="Times New Roman" w:cs="Times New Roman" w:eastAsia="Times New Roman" w:hAnsi="Times New Roman"/>
          <w:sz w:val="24"/>
          <w:szCs w:val="24"/>
        </w:rPr>
        <w:t xml:space="preserve">, Article 16994. https://doi.org/10.1038/s41598-026-48517-z</w:t>
      </w:r>
    </w:p>
    <w:p>
      <w:pPr>
        <w:spacing w:line="480"/>
        <w:ind w:left="720" w:hanging="720"/>
      </w:pPr>
      <w:r>
        <w:rPr>
          <w:rFonts w:ascii="Times New Roman" w:cs="Times New Roman" w:eastAsia="Times New Roman" w:hAnsi="Times New Roman"/>
          <w:sz w:val="24"/>
          <w:szCs w:val="24"/>
        </w:rPr>
        <w:t xml:space="preserve">Silva, B., Nunes, L., Estevão, R., Aski, V., &amp; Chandra, R. (2023). </w:t>
      </w:r>
      <w:r>
        <w:rPr>
          <w:rFonts w:ascii="Times New Roman" w:cs="Times New Roman" w:eastAsia="Times New Roman" w:hAnsi="Times New Roman"/>
          <w:i/>
          <w:iCs/>
          <w:sz w:val="24"/>
          <w:szCs w:val="24"/>
        </w:rPr>
        <w:t xml:space="preserve">GPT-4 as an agronomist assistant? Answering agriculture exams using large language models</w:t>
      </w:r>
      <w:r>
        <w:rPr>
          <w:rFonts w:ascii="Times New Roman" w:cs="Times New Roman" w:eastAsia="Times New Roman" w:hAnsi="Times New Roman"/>
          <w:sz w:val="24"/>
          <w:szCs w:val="24"/>
        </w:rPr>
        <w:t xml:space="preserve"> (arXiv:2310.06225). arXiv. https://doi.org/10.48550/arXiv.2310.06225</w:t>
      </w:r>
    </w:p>
    <w:p>
      <w:pPr>
        <w:spacing w:line="480"/>
        <w:ind w:left="720" w:hanging="720"/>
      </w:pPr>
      <w:r>
        <w:rPr>
          <w:rFonts w:ascii="Times New Roman" w:cs="Times New Roman" w:eastAsia="Times New Roman" w:hAnsi="Times New Roman"/>
          <w:sz w:val="24"/>
          <w:szCs w:val="24"/>
        </w:rPr>
        <w:t xml:space="preserve">Singh, N., Wang’ombe, J., Okanga, N., et al. (2024). </w:t>
      </w:r>
      <w:r>
        <w:rPr>
          <w:rFonts w:ascii="Times New Roman" w:cs="Times New Roman" w:eastAsia="Times New Roman" w:hAnsi="Times New Roman"/>
          <w:i/>
          <w:iCs/>
          <w:sz w:val="24"/>
          <w:szCs w:val="24"/>
        </w:rPr>
        <w:t xml:space="preserve">Farmer.Chat: Scaling AI-powered agricultural services for smallholder farmers</w:t>
      </w:r>
      <w:r>
        <w:rPr>
          <w:rFonts w:ascii="Times New Roman" w:cs="Times New Roman" w:eastAsia="Times New Roman" w:hAnsi="Times New Roman"/>
          <w:sz w:val="24"/>
          <w:szCs w:val="24"/>
        </w:rPr>
        <w:t xml:space="preserve"> (arXiv:2409.08916). arXiv. https://doi.org/10.48550/arXiv.2409.08916</w:t>
      </w:r>
    </w:p>
    <w:p>
      <w:pPr>
        <w:spacing w:line="480"/>
        <w:ind w:left="720" w:hanging="720"/>
      </w:pPr>
      <w:r>
        <w:rPr>
          <w:rFonts w:ascii="Times New Roman" w:cs="Times New Roman" w:eastAsia="Times New Roman" w:hAnsi="Times New Roman"/>
          <w:sz w:val="24"/>
          <w:szCs w:val="24"/>
        </w:rPr>
        <w:t xml:space="preserve">Srivarshini, G., Sujithra, M., Dhanalakshmi, B., &amp; Selvakumar, K. (2025). Smart farming with agri CNN-LSTM fusion: Leveraging soil suitability analysis using real-time sensor data. </w:t>
      </w:r>
      <w:r>
        <w:rPr>
          <w:rFonts w:ascii="Times New Roman" w:cs="Times New Roman" w:eastAsia="Times New Roman" w:hAnsi="Times New Roman"/>
          <w:i/>
          <w:iCs/>
          <w:sz w:val="24"/>
          <w:szCs w:val="24"/>
        </w:rPr>
        <w:t xml:space="preserve">Discover Applied Sciences,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(10), Article 1151. https://doi.org/10.1007/s42452-025-07119-6</w:t>
      </w:r>
    </w:p>
    <w:p>
      <w:pPr>
        <w:spacing w:line="480"/>
        <w:ind w:left="720" w:hanging="720"/>
      </w:pPr>
      <w:r>
        <w:rPr>
          <w:rFonts w:ascii="Times New Roman" w:cs="Times New Roman" w:eastAsia="Times New Roman" w:hAnsi="Times New Roman"/>
          <w:sz w:val="24"/>
          <w:szCs w:val="24"/>
        </w:rPr>
        <w:t xml:space="preserve">Sui, Y., Zhou, M., Zhou, M., Han, S., &amp; Zhang, D. (2024). Table meets LLM: Can large language models understand structured table data? A benchmark and empirical study. In </w:t>
      </w:r>
      <w:r>
        <w:rPr>
          <w:rFonts w:ascii="Times New Roman" w:cs="Times New Roman" w:eastAsia="Times New Roman" w:hAnsi="Times New Roman"/>
          <w:i/>
          <w:iCs/>
          <w:sz w:val="24"/>
          <w:szCs w:val="24"/>
        </w:rPr>
        <w:t xml:space="preserve">Proceedings of the 17th ACM International Conference on Web Search and Data Mining</w:t>
      </w:r>
      <w:r>
        <w:rPr>
          <w:rFonts w:ascii="Times New Roman" w:cs="Times New Roman" w:eastAsia="Times New Roman" w:hAnsi="Times New Roman"/>
          <w:sz w:val="24"/>
          <w:szCs w:val="24"/>
        </w:rPr>
        <w:t xml:space="preserve"> (pp. 645–654). https://doi.org/10.1145/3616855.3635752</w:t>
      </w:r>
    </w:p>
    <w:p>
      <w:pPr>
        <w:spacing w:line="480"/>
        <w:ind w:left="720" w:hanging="720"/>
      </w:pPr>
      <w:r>
        <w:rPr>
          <w:rFonts w:ascii="Times New Roman" w:cs="Times New Roman" w:eastAsia="Times New Roman" w:hAnsi="Times New Roman"/>
          <w:sz w:val="24"/>
          <w:szCs w:val="24"/>
        </w:rPr>
        <w:t xml:space="preserve">Sun, W., Yan, L., Ma, X., et al. (2023). Is ChatGPT good at search? Investigating large language models as re-ranking agents. In </w:t>
      </w:r>
      <w:r>
        <w:rPr>
          <w:rFonts w:ascii="Times New Roman" w:cs="Times New Roman" w:eastAsia="Times New Roman" w:hAnsi="Times New Roman"/>
          <w:i/>
          <w:iCs/>
          <w:sz w:val="24"/>
          <w:szCs w:val="24"/>
        </w:rPr>
        <w:t xml:space="preserve">Proceedings of the 2023 Conference on Empirical Methods in Natural Language Processing</w:t>
      </w:r>
      <w:r>
        <w:rPr>
          <w:rFonts w:ascii="Times New Roman" w:cs="Times New Roman" w:eastAsia="Times New Roman" w:hAnsi="Times New Roman"/>
          <w:sz w:val="24"/>
          <w:szCs w:val="24"/>
        </w:rPr>
        <w:t xml:space="preserve"> (pp. 14918–14937). https://doi.org/10.18653/v1/2023.emnlp-main.923</w:t>
      </w:r>
    </w:p>
    <w:p>
      <w:pPr>
        <w:spacing w:line="480"/>
        <w:ind w:left="720" w:hanging="720"/>
      </w:pPr>
      <w:r>
        <w:rPr>
          <w:rFonts w:ascii="Times New Roman" w:cs="Times New Roman" w:eastAsia="Times New Roman" w:hAnsi="Times New Roman"/>
          <w:sz w:val="24"/>
          <w:szCs w:val="24"/>
        </w:rPr>
        <w:t xml:space="preserve">Tan, M., Merrill, M. A., Gupta, V., Althoff, T., &amp; Hartvigsen, T. (2024). Are language models actually useful for time series forecasting? In </w:t>
      </w:r>
      <w:r>
        <w:rPr>
          <w:rFonts w:ascii="Times New Roman" w:cs="Times New Roman" w:eastAsia="Times New Roman" w:hAnsi="Times New Roman"/>
          <w:i/>
          <w:iCs/>
          <w:sz w:val="24"/>
          <w:szCs w:val="24"/>
        </w:rPr>
        <w:t xml:space="preserve">Advances in Neural Information Processing Systems 37 (NeurIPS 2024)</w:t>
      </w:r>
      <w:r>
        <w:rPr>
          <w:rFonts w:ascii="Times New Roman" w:cs="Times New Roman" w:eastAsia="Times New Roman" w:hAnsi="Times New Roman"/>
          <w:sz w:val="24"/>
          <w:szCs w:val="24"/>
        </w:rPr>
        <w:t xml:space="preserve">.</w:t>
      </w:r>
    </w:p>
    <w:p>
      <w:pPr>
        <w:spacing w:line="480"/>
        <w:ind w:left="720" w:hanging="720"/>
      </w:pPr>
      <w:r>
        <w:rPr>
          <w:rFonts w:ascii="Times New Roman" w:cs="Times New Roman" w:eastAsia="Times New Roman" w:hAnsi="Times New Roman"/>
          <w:sz w:val="24"/>
          <w:szCs w:val="24"/>
        </w:rPr>
        <w:t xml:space="preserve">Tzachor, A., Devare, M., King, B., Avin, S., &amp; Ó hÉigeartaigh, S. (2022). Responsible artificial intelligence in agriculture requires systemic understanding of risks and externalities. </w:t>
      </w:r>
      <w:r>
        <w:rPr>
          <w:rFonts w:ascii="Times New Roman" w:cs="Times New Roman" w:eastAsia="Times New Roman" w:hAnsi="Times New Roman"/>
          <w:i/>
          <w:iCs/>
          <w:sz w:val="24"/>
          <w:szCs w:val="24"/>
        </w:rPr>
        <w:t xml:space="preserve">Nature Machine Intelligence,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sz w:val="24"/>
          <w:szCs w:val="24"/>
        </w:rPr>
        <w:t xml:space="preserve">(2), 104–109. https://doi.org/10.1038/s42256-022-00440-4</w:t>
      </w:r>
    </w:p>
    <w:p>
      <w:pPr>
        <w:spacing w:line="480"/>
        <w:ind w:left="720" w:hanging="720"/>
      </w:pPr>
      <w:r>
        <w:rPr>
          <w:rFonts w:ascii="Times New Roman" w:cs="Times New Roman" w:eastAsia="Times New Roman" w:hAnsi="Times New Roman"/>
          <w:sz w:val="24"/>
          <w:szCs w:val="24"/>
        </w:rPr>
        <w:t xml:space="preserve">Tzachor, A., Devare, M., Richards, C., Pypers, P., Ghosh, A., Koo, J., Johal, S., &amp; King, B. (2023). Large language models and agricultural extension services. </w:t>
      </w:r>
      <w:r>
        <w:rPr>
          <w:rFonts w:ascii="Times New Roman" w:cs="Times New Roman" w:eastAsia="Times New Roman" w:hAnsi="Times New Roman"/>
          <w:i/>
          <w:iCs/>
          <w:sz w:val="24"/>
          <w:szCs w:val="24"/>
        </w:rPr>
        <w:t xml:space="preserve">Nature Food, </w:t>
      </w:r>
      <w:r>
        <w:rPr>
          <w:rFonts w:ascii="Times New Roman" w:cs="Times New Roman" w:eastAsia="Times New Roman" w:hAnsi="Times New Roman"/>
          <w:i/>
          <w:iCs/>
          <w:sz w:val="24"/>
          <w:szCs w:val="24"/>
        </w:rPr>
        <w:t xml:space="preserve">4</w:t>
      </w:r>
      <w:r>
        <w:rPr>
          <w:rFonts w:ascii="Times New Roman" w:cs="Times New Roman" w:eastAsia="Times New Roman" w:hAnsi="Times New Roman"/>
          <w:sz w:val="24"/>
          <w:szCs w:val="24"/>
        </w:rPr>
        <w:t xml:space="preserve">(11), 941–948. https://doi.org/10.1038/s43016-023-00867-x</w:t>
      </w:r>
    </w:p>
    <w:p>
      <w:pPr>
        <w:spacing w:line="480"/>
        <w:ind w:left="720" w:hanging="720"/>
      </w:pPr>
      <w:r>
        <w:rPr>
          <w:rFonts w:ascii="Times New Roman" w:cs="Times New Roman" w:eastAsia="Times New Roman" w:hAnsi="Times New Roman"/>
          <w:sz w:val="24"/>
          <w:szCs w:val="24"/>
        </w:rPr>
        <w:t xml:space="preserve">Vizniuk, A., Diachenko, G., Laktionov, I., Siwocha, A., Xiao, M., &amp; Smoląg, J. (2025). A comprehensive survey of retrieval-augmented large language models for decision making in agriculture: Unsolved problems and research opportunities. </w:t>
      </w:r>
      <w:r>
        <w:rPr>
          <w:rFonts w:ascii="Times New Roman" w:cs="Times New Roman" w:eastAsia="Times New Roman" w:hAnsi="Times New Roman"/>
          <w:i/>
          <w:iCs/>
          <w:sz w:val="24"/>
          <w:szCs w:val="24"/>
        </w:rPr>
        <w:t xml:space="preserve">Journal of Artificial Intelligence and Soft Computing Research,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(2), 115–146. https://doi.org/10.2478/jaiscr-2025-0007</w:t>
      </w:r>
    </w:p>
    <w:p>
      <w:pPr>
        <w:spacing w:line="480"/>
        <w:ind w:left="720" w:hanging="720"/>
      </w:pPr>
      <w:r>
        <w:rPr>
          <w:rFonts w:ascii="Times New Roman" w:cs="Times New Roman" w:eastAsia="Times New Roman" w:hAnsi="Times New Roman"/>
          <w:sz w:val="24"/>
          <w:szCs w:val="24"/>
        </w:rPr>
        <w:t xml:space="preserve">Wang, L., Yang, N., Huang, X., et al. (2022). </w:t>
      </w:r>
      <w:r>
        <w:rPr>
          <w:rFonts w:ascii="Times New Roman" w:cs="Times New Roman" w:eastAsia="Times New Roman" w:hAnsi="Times New Roman"/>
          <w:i/>
          <w:iCs/>
          <w:sz w:val="24"/>
          <w:szCs w:val="24"/>
        </w:rPr>
        <w:t xml:space="preserve">Text embeddings by weakly-supervised contrastive pre-training</w:t>
      </w:r>
      <w:r>
        <w:rPr>
          <w:rFonts w:ascii="Times New Roman" w:cs="Times New Roman" w:eastAsia="Times New Roman" w:hAnsi="Times New Roman"/>
          <w:sz w:val="24"/>
          <w:szCs w:val="24"/>
        </w:rPr>
        <w:t xml:space="preserve"> (arXiv:2212.03533). arXiv. https://doi.org/10.48550/arXiv.2212.03533</w:t>
      </w:r>
    </w:p>
    <w:p>
      <w:pPr>
        <w:spacing w:line="480"/>
        <w:ind w:left="720" w:hanging="720"/>
      </w:pPr>
      <w:r>
        <w:rPr>
          <w:rFonts w:ascii="Times New Roman" w:cs="Times New Roman" w:eastAsia="Times New Roman" w:hAnsi="Times New Roman"/>
          <w:sz w:val="24"/>
          <w:szCs w:val="24"/>
        </w:rPr>
        <w:t xml:space="preserve">Wang, X., Wang, Z., Gao, X., et al. (2024). Searching for best practices in retrieval-augmented generation. In </w:t>
      </w:r>
      <w:r>
        <w:rPr>
          <w:rFonts w:ascii="Times New Roman" w:cs="Times New Roman" w:eastAsia="Times New Roman" w:hAnsi="Times New Roman"/>
          <w:i/>
          <w:iCs/>
          <w:sz w:val="24"/>
          <w:szCs w:val="24"/>
        </w:rPr>
        <w:t xml:space="preserve">Proceedings of the 2024 Conference on Empirical Methods in Natural Language Processing</w:t>
      </w:r>
      <w:r>
        <w:rPr>
          <w:rFonts w:ascii="Times New Roman" w:cs="Times New Roman" w:eastAsia="Times New Roman" w:hAnsi="Times New Roman"/>
          <w:sz w:val="24"/>
          <w:szCs w:val="24"/>
        </w:rPr>
        <w:t xml:space="preserve"> (pp. 17716–17736). https://doi.org/10.18653/v1/2024.emnlp-main.981</w:t>
      </w:r>
    </w:p>
    <w:p>
      <w:pPr>
        <w:spacing w:line="480"/>
        <w:ind w:left="720" w:hanging="720"/>
      </w:pPr>
      <w:r>
        <w:rPr>
          <w:rFonts w:ascii="Times New Roman" w:cs="Times New Roman" w:eastAsia="Times New Roman" w:hAnsi="Times New Roman"/>
          <w:sz w:val="24"/>
          <w:szCs w:val="24"/>
        </w:rPr>
        <w:t xml:space="preserve">Wang, Y., Shi, L., Hu, Y., Hu, X., Song, W., &amp; Wang, L. (2024). A comprehensive study of deep learning for soil moisture prediction. </w:t>
      </w:r>
      <w:r>
        <w:rPr>
          <w:rFonts w:ascii="Times New Roman" w:cs="Times New Roman" w:eastAsia="Times New Roman" w:hAnsi="Times New Roman"/>
          <w:i/>
          <w:iCs/>
          <w:sz w:val="24"/>
          <w:szCs w:val="24"/>
        </w:rPr>
        <w:t xml:space="preserve">Hydrology and Earth System Sciences, </w:t>
      </w:r>
      <w:r>
        <w:rPr>
          <w:rFonts w:ascii="Times New Roman" w:cs="Times New Roman" w:eastAsia="Times New Roman" w:hAnsi="Times New Roman"/>
          <w:i/>
          <w:iCs/>
          <w:sz w:val="24"/>
          <w:szCs w:val="24"/>
        </w:rPr>
        <w:t xml:space="preserve">28</w:t>
      </w:r>
      <w:r>
        <w:rPr>
          <w:rFonts w:ascii="Times New Roman" w:cs="Times New Roman" w:eastAsia="Times New Roman" w:hAnsi="Times New Roman"/>
          <w:sz w:val="24"/>
          <w:szCs w:val="24"/>
        </w:rPr>
        <w:t xml:space="preserve">(4), 917–943. https://doi.org/10.5194/hess-28-917-2024</w:t>
      </w:r>
    </w:p>
    <w:p>
      <w:pPr>
        <w:spacing w:line="480"/>
        <w:ind w:left="720" w:hanging="720"/>
      </w:pPr>
      <w:r>
        <w:rPr>
          <w:rFonts w:ascii="Times New Roman" w:cs="Times New Roman" w:eastAsia="Times New Roman" w:hAnsi="Times New Roman"/>
          <w:sz w:val="24"/>
          <w:szCs w:val="24"/>
        </w:rPr>
        <w:t xml:space="preserve">Wang, Y., &amp; Zha, Y. (2024). Comparison of transformer, LSTM and coupled algorithms for soil moisture prediction in shallow-groundwater-level areas with interpretability analysis. </w:t>
      </w:r>
      <w:r>
        <w:rPr>
          <w:rFonts w:ascii="Times New Roman" w:cs="Times New Roman" w:eastAsia="Times New Roman" w:hAnsi="Times New Roman"/>
          <w:i/>
          <w:iCs/>
          <w:sz w:val="24"/>
          <w:szCs w:val="24"/>
        </w:rPr>
        <w:t xml:space="preserve">Agricultural Water Management, </w:t>
      </w:r>
      <w:r>
        <w:rPr>
          <w:rFonts w:ascii="Times New Roman" w:cs="Times New Roman" w:eastAsia="Times New Roman" w:hAnsi="Times New Roman"/>
          <w:i/>
          <w:iCs/>
          <w:sz w:val="24"/>
          <w:szCs w:val="24"/>
        </w:rPr>
        <w:t xml:space="preserve">305</w:t>
      </w:r>
      <w:r>
        <w:rPr>
          <w:rFonts w:ascii="Times New Roman" w:cs="Times New Roman" w:eastAsia="Times New Roman" w:hAnsi="Times New Roman"/>
          <w:sz w:val="24"/>
          <w:szCs w:val="24"/>
        </w:rPr>
        <w:t xml:space="preserve">, Article 109120. https://doi.org/10.1016/j.agwat.2024.109120</w:t>
      </w:r>
    </w:p>
    <w:p>
      <w:pPr>
        <w:spacing w:line="480"/>
        <w:ind w:left="720" w:hanging="720"/>
      </w:pPr>
      <w:r>
        <w:rPr>
          <w:rFonts w:ascii="Times New Roman" w:cs="Times New Roman" w:eastAsia="Times New Roman" w:hAnsi="Times New Roman"/>
          <w:sz w:val="24"/>
          <w:szCs w:val="24"/>
        </w:rPr>
        <w:t xml:space="preserve">Wei, Y., Jang-Jaccard, J., Xu, W., Sabrina, F., Camtepe, S., &amp; Boulic, M. (2023). LSTM-autoencoder-based anomaly detection for indoor air quality time-series data. </w:t>
      </w:r>
      <w:r>
        <w:rPr>
          <w:rFonts w:ascii="Times New Roman" w:cs="Times New Roman" w:eastAsia="Times New Roman" w:hAnsi="Times New Roman"/>
          <w:i/>
          <w:iCs/>
          <w:sz w:val="24"/>
          <w:szCs w:val="24"/>
        </w:rPr>
        <w:t xml:space="preserve">IEEE Sensors Journal, </w:t>
      </w:r>
      <w:r>
        <w:rPr>
          <w:rFonts w:ascii="Times New Roman" w:cs="Times New Roman" w:eastAsia="Times New Roman" w:hAnsi="Times New Roman"/>
          <w:i/>
          <w:iCs/>
          <w:sz w:val="24"/>
          <w:szCs w:val="24"/>
        </w:rPr>
        <w:t xml:space="preserve">23</w:t>
      </w:r>
      <w:r>
        <w:rPr>
          <w:rFonts w:ascii="Times New Roman" w:cs="Times New Roman" w:eastAsia="Times New Roman" w:hAnsi="Times New Roman"/>
          <w:sz w:val="24"/>
          <w:szCs w:val="24"/>
        </w:rPr>
        <w:t xml:space="preserve">(4), 3787–3800. https://doi.org/10.1109/JSEN.2022.3230361</w:t>
      </w:r>
    </w:p>
    <w:p>
      <w:pPr>
        <w:spacing w:line="480"/>
        <w:ind w:left="720" w:hanging="720"/>
      </w:pPr>
      <w:r>
        <w:rPr>
          <w:rFonts w:ascii="Times New Roman" w:cs="Times New Roman" w:eastAsia="Times New Roman" w:hAnsi="Times New Roman"/>
          <w:sz w:val="24"/>
          <w:szCs w:val="24"/>
        </w:rPr>
        <w:t xml:space="preserve">Xiao, S., Liu, Z., Zhang, P., Muennighoff, N., Lian, D., &amp; Nie, J.-Y. (2024). C-Pack: Packed resources for general Chinese embeddings. In </w:t>
      </w:r>
      <w:r>
        <w:rPr>
          <w:rFonts w:ascii="Times New Roman" w:cs="Times New Roman" w:eastAsia="Times New Roman" w:hAnsi="Times New Roman"/>
          <w:i/>
          <w:iCs/>
          <w:sz w:val="24"/>
          <w:szCs w:val="24"/>
        </w:rPr>
        <w:t xml:space="preserve">Proceedings of the 47th International ACM SIGIR Conference on Research and Development in Information Retrieval</w:t>
      </w:r>
      <w:r>
        <w:rPr>
          <w:rFonts w:ascii="Times New Roman" w:cs="Times New Roman" w:eastAsia="Times New Roman" w:hAnsi="Times New Roman"/>
          <w:sz w:val="24"/>
          <w:szCs w:val="24"/>
        </w:rPr>
        <w:t xml:space="preserve"> (pp. 641–649). https://doi.org/10.1145/3626772.3657878</w:t>
      </w:r>
    </w:p>
    <w:p>
      <w:pPr>
        <w:spacing w:line="480"/>
        <w:ind w:left="720" w:hanging="720"/>
      </w:pPr>
      <w:r>
        <w:rPr>
          <w:rFonts w:ascii="Times New Roman" w:cs="Times New Roman" w:eastAsia="Times New Roman" w:hAnsi="Times New Roman"/>
          <w:sz w:val="24"/>
          <w:szCs w:val="24"/>
        </w:rPr>
        <w:t xml:space="preserve">Xu, C., &amp; Xie, Y. (2023). Conformal prediction for time series. </w:t>
      </w:r>
      <w:r>
        <w:rPr>
          <w:rFonts w:ascii="Times New Roman" w:cs="Times New Roman" w:eastAsia="Times New Roman" w:hAnsi="Times New Roman"/>
          <w:i/>
          <w:iCs/>
          <w:sz w:val="24"/>
          <w:szCs w:val="24"/>
        </w:rPr>
        <w:t xml:space="preserve">IEEE Transactions on Pattern Analysis and Machine Intelligence, </w:t>
      </w:r>
      <w:r>
        <w:rPr>
          <w:rFonts w:ascii="Times New Roman" w:cs="Times New Roman" w:eastAsia="Times New Roman" w:hAnsi="Times New Roman"/>
          <w:i/>
          <w:iCs/>
          <w:sz w:val="24"/>
          <w:szCs w:val="24"/>
        </w:rPr>
        <w:t xml:space="preserve">45</w:t>
      </w:r>
      <w:r>
        <w:rPr>
          <w:rFonts w:ascii="Times New Roman" w:cs="Times New Roman" w:eastAsia="Times New Roman" w:hAnsi="Times New Roman"/>
          <w:sz w:val="24"/>
          <w:szCs w:val="24"/>
        </w:rPr>
        <w:t xml:space="preserve">(10), 11575–11587. https://doi.org/10.1109/TPAMI.2023.3272339</w:t>
      </w:r>
    </w:p>
    <w:p>
      <w:pPr>
        <w:spacing w:line="480"/>
        <w:ind w:left="720" w:hanging="720"/>
      </w:pPr>
      <w:r>
        <w:rPr>
          <w:rFonts w:ascii="Times New Roman" w:cs="Times New Roman" w:eastAsia="Times New Roman" w:hAnsi="Times New Roman"/>
          <w:sz w:val="24"/>
          <w:szCs w:val="24"/>
        </w:rPr>
        <w:t xml:space="preserve">Xu, H., Han, L., Yang, Q., Li, M., &amp; Srivastava, M. (2024). Penetrative AI: Making LLMs comprehend the physical world. In </w:t>
      </w:r>
      <w:r>
        <w:rPr>
          <w:rFonts w:ascii="Times New Roman" w:cs="Times New Roman" w:eastAsia="Times New Roman" w:hAnsi="Times New Roman"/>
          <w:i/>
          <w:iCs/>
          <w:sz w:val="24"/>
          <w:szCs w:val="24"/>
        </w:rPr>
        <w:t xml:space="preserve">Findings of the Association for Computational Linguistics: ACL 2024</w:t>
      </w:r>
      <w:r>
        <w:rPr>
          <w:rFonts w:ascii="Times New Roman" w:cs="Times New Roman" w:eastAsia="Times New Roman" w:hAnsi="Times New Roman"/>
          <w:sz w:val="24"/>
          <w:szCs w:val="24"/>
        </w:rPr>
        <w:t xml:space="preserve"> (pp. 7324–7341). https://doi.org/10.18653/v1/2024.findings-acl.437</w:t>
      </w:r>
    </w:p>
    <w:p>
      <w:pPr>
        <w:spacing w:line="480"/>
        <w:ind w:left="720" w:hanging="720"/>
      </w:pPr>
      <w:r>
        <w:rPr>
          <w:rFonts w:ascii="Times New Roman" w:cs="Times New Roman" w:eastAsia="Times New Roman" w:hAnsi="Times New Roman"/>
          <w:sz w:val="24"/>
          <w:szCs w:val="24"/>
        </w:rPr>
        <w:t xml:space="preserve">Yahya, M. A., Moya, A. R., &amp; Ventura, S. (2025). Deep learning for multivariate time series anomaly detection: An evaluation of reconstruction-based methods. </w:t>
      </w:r>
      <w:r>
        <w:rPr>
          <w:rFonts w:ascii="Times New Roman" w:cs="Times New Roman" w:eastAsia="Times New Roman" w:hAnsi="Times New Roman"/>
          <w:i/>
          <w:iCs/>
          <w:sz w:val="24"/>
          <w:szCs w:val="24"/>
        </w:rPr>
        <w:t xml:space="preserve">Artificial Intelligence Review, </w:t>
      </w:r>
      <w:r>
        <w:rPr>
          <w:rFonts w:ascii="Times New Roman" w:cs="Times New Roman" w:eastAsia="Times New Roman" w:hAnsi="Times New Roman"/>
          <w:i/>
          <w:iCs/>
          <w:sz w:val="24"/>
          <w:szCs w:val="24"/>
        </w:rPr>
        <w:t xml:space="preserve">58</w:t>
      </w:r>
      <w:r>
        <w:rPr>
          <w:rFonts w:ascii="Times New Roman" w:cs="Times New Roman" w:eastAsia="Times New Roman" w:hAnsi="Times New Roman"/>
          <w:sz w:val="24"/>
          <w:szCs w:val="24"/>
        </w:rPr>
        <w:t xml:space="preserve">(12), Article 400. https://doi.org/10.1007/s10462-025-11401-9</w:t>
      </w:r>
    </w:p>
    <w:p>
      <w:pPr>
        <w:spacing w:line="480"/>
        <w:ind w:left="720" w:hanging="720"/>
      </w:pPr>
      <w:r>
        <w:rPr>
          <w:rFonts w:ascii="Times New Roman" w:cs="Times New Roman" w:eastAsia="Times New Roman" w:hAnsi="Times New Roman"/>
          <w:sz w:val="24"/>
          <w:szCs w:val="24"/>
        </w:rPr>
        <w:t xml:space="preserve">Yan, S.-Q., Gu, J.-C., Zhu, Y., &amp; Ling, Z.-H. (2024). </w:t>
      </w:r>
      <w:r>
        <w:rPr>
          <w:rFonts w:ascii="Times New Roman" w:cs="Times New Roman" w:eastAsia="Times New Roman" w:hAnsi="Times New Roman"/>
          <w:i/>
          <w:iCs/>
          <w:sz w:val="24"/>
          <w:szCs w:val="24"/>
        </w:rPr>
        <w:t xml:space="preserve">Corrective retrieval augmented generation</w:t>
      </w:r>
      <w:r>
        <w:rPr>
          <w:rFonts w:ascii="Times New Roman" w:cs="Times New Roman" w:eastAsia="Times New Roman" w:hAnsi="Times New Roman"/>
          <w:sz w:val="24"/>
          <w:szCs w:val="24"/>
        </w:rPr>
        <w:t xml:space="preserve"> (arXiv:2401.15884). arXiv. https://doi.org/10.48550/arXiv.2401.15884</w:t>
      </w:r>
    </w:p>
    <w:p>
      <w:pPr>
        <w:spacing w:line="480"/>
        <w:ind w:left="720" w:hanging="720"/>
      </w:pPr>
      <w:r>
        <w:rPr>
          <w:rFonts w:ascii="Times New Roman" w:cs="Times New Roman" w:eastAsia="Times New Roman" w:hAnsi="Times New Roman"/>
          <w:sz w:val="24"/>
          <w:szCs w:val="24"/>
        </w:rPr>
        <w:t xml:space="preserve">Yang, S., Liu, Z., Mayer, W., Ding, N., Wang, Y., Huang, Y., Wu, P., Li, W., Li, L., Zhang, H.-Y., &amp; Feng, Z. (2024). ShizishanGPT: An agricultural large language model integrating tools and resources. In </w:t>
      </w:r>
      <w:r>
        <w:rPr>
          <w:rFonts w:ascii="Times New Roman" w:cs="Times New Roman" w:eastAsia="Times New Roman" w:hAnsi="Times New Roman"/>
          <w:i/>
          <w:iCs/>
          <w:sz w:val="24"/>
          <w:szCs w:val="24"/>
        </w:rPr>
        <w:t xml:space="preserve">Web Information Systems Engineering – WISE 2024 (Lecture Notes in Computer Science)</w:t>
      </w:r>
      <w:r>
        <w:rPr>
          <w:rFonts w:ascii="Times New Roman" w:cs="Times New Roman" w:eastAsia="Times New Roman" w:hAnsi="Times New Roman"/>
          <w:sz w:val="24"/>
          <w:szCs w:val="24"/>
        </w:rPr>
        <w:t xml:space="preserve"> (pp. 284–298). Springer. https://doi.org/10.1007/978-981-96-0573-6_21</w:t>
      </w:r>
    </w:p>
    <w:p>
      <w:pPr>
        <w:spacing w:line="480"/>
        <w:ind w:left="720" w:hanging="720"/>
      </w:pPr>
      <w:r>
        <w:rPr>
          <w:rFonts w:ascii="Times New Roman" w:cs="Times New Roman" w:eastAsia="Times New Roman" w:hAnsi="Times New Roman"/>
          <w:sz w:val="24"/>
          <w:szCs w:val="24"/>
        </w:rPr>
        <w:t xml:space="preserve">Yang, S., Wang, D., Zheng, H., &amp; Jin, R. (2025). TimeRAG: Boosting LLM time series forecasting via retrieval-augmented generation. In </w:t>
      </w:r>
      <w:r>
        <w:rPr>
          <w:rFonts w:ascii="Times New Roman" w:cs="Times New Roman" w:eastAsia="Times New Roman" w:hAnsi="Times New Roman"/>
          <w:i/>
          <w:iCs/>
          <w:sz w:val="24"/>
          <w:szCs w:val="24"/>
        </w:rPr>
        <w:t xml:space="preserve">ICASSP 2025 – 2025 IEEE International Conference on Acoustics, Speech and Signal Processing</w:t>
      </w:r>
      <w:r>
        <w:rPr>
          <w:rFonts w:ascii="Times New Roman" w:cs="Times New Roman" w:eastAsia="Times New Roman" w:hAnsi="Times New Roman"/>
          <w:sz w:val="24"/>
          <w:szCs w:val="24"/>
        </w:rPr>
        <w:t xml:space="preserve"> (pp. 1–5). https://doi.org/10.1109/ICASSP49660.2025.10889933</w:t>
      </w:r>
    </w:p>
    <w:p>
      <w:pPr>
        <w:spacing w:line="480"/>
        <w:ind w:left="720" w:hanging="720"/>
      </w:pPr>
      <w:r>
        <w:rPr>
          <w:rFonts w:ascii="Times New Roman" w:cs="Times New Roman" w:eastAsia="Times New Roman" w:hAnsi="Times New Roman"/>
          <w:sz w:val="24"/>
          <w:szCs w:val="24"/>
        </w:rPr>
        <w:t xml:space="preserve">Yao, S., Zhao, J., Yu, D., et al. (2023). ReAct: Synergizing reasoning and acting in language models. In </w:t>
      </w:r>
      <w:r>
        <w:rPr>
          <w:rFonts w:ascii="Times New Roman" w:cs="Times New Roman" w:eastAsia="Times New Roman" w:hAnsi="Times New Roman"/>
          <w:i/>
          <w:iCs/>
          <w:sz w:val="24"/>
          <w:szCs w:val="24"/>
        </w:rPr>
        <w:t xml:space="preserve">International Conference on Learning Representations (ICLR 2023)</w:t>
      </w:r>
      <w:r>
        <w:rPr>
          <w:rFonts w:ascii="Times New Roman" w:cs="Times New Roman" w:eastAsia="Times New Roman" w:hAnsi="Times New Roman"/>
          <w:sz w:val="24"/>
          <w:szCs w:val="24"/>
        </w:rPr>
        <w:t xml:space="preserve">. https://arxiv.org/abs/2210.03629</w:t>
      </w:r>
    </w:p>
    <w:p>
      <w:pPr>
        <w:spacing w:line="480"/>
        <w:ind w:left="720" w:hanging="720"/>
      </w:pPr>
      <w:r>
        <w:rPr>
          <w:rFonts w:ascii="Times New Roman" w:cs="Times New Roman" w:eastAsia="Times New Roman" w:hAnsi="Times New Roman"/>
          <w:sz w:val="24"/>
          <w:szCs w:val="24"/>
        </w:rPr>
        <w:t xml:space="preserve">Zaffran, M., Féron, O., Goude, Y., Josse, J., &amp; Dieuleveut, A. (2022). Adaptive conformal predictions for time series. In </w:t>
      </w:r>
      <w:r>
        <w:rPr>
          <w:rFonts w:ascii="Times New Roman" w:cs="Times New Roman" w:eastAsia="Times New Roman" w:hAnsi="Times New Roman"/>
          <w:i/>
          <w:iCs/>
          <w:sz w:val="24"/>
          <w:szCs w:val="24"/>
        </w:rPr>
        <w:t xml:space="preserve">Proceedings of the 39th International Conference on Machine Learning (Proceedings of Machine Learning Research, Vol. 162)</w:t>
      </w:r>
      <w:r>
        <w:rPr>
          <w:rFonts w:ascii="Times New Roman" w:cs="Times New Roman" w:eastAsia="Times New Roman" w:hAnsi="Times New Roman"/>
          <w:sz w:val="24"/>
          <w:szCs w:val="24"/>
        </w:rPr>
        <w:t xml:space="preserve"> (pp. 25834–25866).</w:t>
      </w:r>
    </w:p>
    <w:p>
      <w:pPr>
        <w:spacing w:line="480"/>
        <w:ind w:left="720" w:hanging="720"/>
      </w:pPr>
      <w:r>
        <w:rPr>
          <w:rFonts w:ascii="Times New Roman" w:cs="Times New Roman" w:eastAsia="Times New Roman" w:hAnsi="Times New Roman"/>
          <w:sz w:val="24"/>
          <w:szCs w:val="24"/>
        </w:rPr>
        <w:t xml:space="preserve">Zamanzadeh Darban, Z., Webb, G. I., Pan, S., Aggarwal, C., &amp; Salehi, M. (2024). Deep learning for time series anomaly detection: A survey. </w:t>
      </w:r>
      <w:r>
        <w:rPr>
          <w:rFonts w:ascii="Times New Roman" w:cs="Times New Roman" w:eastAsia="Times New Roman" w:hAnsi="Times New Roman"/>
          <w:i/>
          <w:iCs/>
          <w:sz w:val="24"/>
          <w:szCs w:val="24"/>
        </w:rPr>
        <w:t xml:space="preserve">ACM Computing Surveys, </w:t>
      </w:r>
      <w:r>
        <w:rPr>
          <w:rFonts w:ascii="Times New Roman" w:cs="Times New Roman" w:eastAsia="Times New Roman" w:hAnsi="Times New Roman"/>
          <w:i/>
          <w:iCs/>
          <w:sz w:val="24"/>
          <w:szCs w:val="24"/>
        </w:rPr>
        <w:t xml:space="preserve">57</w:t>
      </w:r>
      <w:r>
        <w:rPr>
          <w:rFonts w:ascii="Times New Roman" w:cs="Times New Roman" w:eastAsia="Times New Roman" w:hAnsi="Times New Roman"/>
          <w:sz w:val="24"/>
          <w:szCs w:val="24"/>
        </w:rPr>
        <w:t xml:space="preserve">(1), 1–42. https://doi.org/10.1145/3691338</w:t>
      </w:r>
    </w:p>
    <w:p>
      <w:pPr>
        <w:spacing w:line="480"/>
        <w:ind w:left="720" w:hanging="720"/>
      </w:pPr>
      <w:r>
        <w:rPr>
          <w:rFonts w:ascii="Times New Roman" w:cs="Times New Roman" w:eastAsia="Times New Roman" w:hAnsi="Times New Roman"/>
          <w:sz w:val="24"/>
          <w:szCs w:val="24"/>
        </w:rPr>
        <w:t xml:space="preserve">Zeng, A., Chen, M., Zhang, L., &amp; Xu, Q. (2023). Are transformers effective for time series forecasting? </w:t>
      </w:r>
      <w:r>
        <w:rPr>
          <w:rFonts w:ascii="Times New Roman" w:cs="Times New Roman" w:eastAsia="Times New Roman" w:hAnsi="Times New Roman"/>
          <w:i/>
          <w:iCs/>
          <w:sz w:val="24"/>
          <w:szCs w:val="24"/>
        </w:rPr>
        <w:t xml:space="preserve">Proceedings of the AAAI Conference on Artificial Intelligence, </w:t>
      </w:r>
      <w:r>
        <w:rPr>
          <w:rFonts w:ascii="Times New Roman" w:cs="Times New Roman" w:eastAsia="Times New Roman" w:hAnsi="Times New Roman"/>
          <w:i/>
          <w:iCs/>
          <w:sz w:val="24"/>
          <w:szCs w:val="24"/>
        </w:rPr>
        <w:t xml:space="preserve">37</w:t>
      </w:r>
      <w:r>
        <w:rPr>
          <w:rFonts w:ascii="Times New Roman" w:cs="Times New Roman" w:eastAsia="Times New Roman" w:hAnsi="Times New Roman"/>
          <w:sz w:val="24"/>
          <w:szCs w:val="24"/>
        </w:rPr>
        <w:t xml:space="preserve">(9), 11121–11128. https://doi.org/10.1609/aaai.v37i9.26317</w:t>
      </w:r>
    </w:p>
    <w:p>
      <w:pPr>
        <w:spacing w:line="480"/>
        <w:ind w:left="720" w:hanging="720"/>
      </w:pPr>
      <w:r>
        <w:rPr>
          <w:rFonts w:ascii="Times New Roman" w:cs="Times New Roman" w:eastAsia="Times New Roman" w:hAnsi="Times New Roman"/>
          <w:sz w:val="24"/>
          <w:szCs w:val="24"/>
        </w:rPr>
        <w:t xml:space="preserve">Zhang, X., Chowdhury, R. R., Gupta, R. K., &amp; Shang, J. (2024). Large language models for time series: A survey. In </w:t>
      </w:r>
      <w:r>
        <w:rPr>
          <w:rFonts w:ascii="Times New Roman" w:cs="Times New Roman" w:eastAsia="Times New Roman" w:hAnsi="Times New Roman"/>
          <w:i/>
          <w:iCs/>
          <w:sz w:val="24"/>
          <w:szCs w:val="24"/>
        </w:rPr>
        <w:t xml:space="preserve">Proceedings of the Thirty-Third International Joint Conference on Artificial Intelligence</w:t>
      </w:r>
      <w:r>
        <w:rPr>
          <w:rFonts w:ascii="Times New Roman" w:cs="Times New Roman" w:eastAsia="Times New Roman" w:hAnsi="Times New Roman"/>
          <w:sz w:val="24"/>
          <w:szCs w:val="24"/>
        </w:rPr>
        <w:t xml:space="preserve"> (pp. 8335–8343). https://doi.org/10.24963/ijcai.2024/921</w:t>
      </w:r>
    </w:p>
    <w:p>
      <w:pPr>
        <w:spacing w:line="480"/>
        <w:ind w:left="720" w:hanging="720"/>
      </w:pPr>
      <w:r>
        <w:rPr>
          <w:rFonts w:ascii="Times New Roman" w:cs="Times New Roman" w:eastAsia="Times New Roman" w:hAnsi="Times New Roman"/>
          <w:sz w:val="24"/>
          <w:szCs w:val="24"/>
        </w:rPr>
        <w:t xml:space="preserve">Zhou, Z., &amp; Yu, R. (2025). Can LLMs understand time series anomalies? In </w:t>
      </w:r>
      <w:r>
        <w:rPr>
          <w:rFonts w:ascii="Times New Roman" w:cs="Times New Roman" w:eastAsia="Times New Roman" w:hAnsi="Times New Roman"/>
          <w:i/>
          <w:iCs/>
          <w:sz w:val="24"/>
          <w:szCs w:val="24"/>
        </w:rPr>
        <w:t xml:space="preserve">International Conference on Learning Representations (ICLR 2025)</w:t>
      </w:r>
      <w:r>
        <w:rPr>
          <w:rFonts w:ascii="Times New Roman" w:cs="Times New Roman" w:eastAsia="Times New Roman" w:hAnsi="Times New Roman"/>
          <w:sz w:val="24"/>
          <w:szCs w:val="24"/>
        </w:rPr>
        <w:t xml:space="preserve">. https://arxiv.org/abs/2410.05440</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5001aca59dc25d67f543f7be10bcf4a6a6b33e75.png"/><Relationship Id="rId9" Type="http://schemas.openxmlformats.org/officeDocument/2006/relationships/image" Target="media/0c18b6ad0301668266cb469771cf706f8d5d913d.png"/><Relationship Id="rId10" Type="http://schemas.openxmlformats.org/officeDocument/2006/relationships/image" Target="media/b7afd9a2b09e653b00b09e7d63fdc3cb8e1cc3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Doctor: Integrating LSTM Sensor Models with Retrieval-Augmented Generation for Smallholder Soil Advisory</dc:title>
  <dc:creator>Soil Doctor project</dc:creator>
  <cp:lastModifiedBy>Un-named</cp:lastModifiedBy>
  <cp:revision>1</cp:revision>
  <dcterms:created xsi:type="dcterms:W3CDTF">2026-10-02T13:47:28.726Z</dcterms:created>
  <dcterms:modified xsi:type="dcterms:W3CDTF">2026-10-02T13:47:28.726Z</dcterms:modified>
</cp:coreProperties>
</file>

<file path=docProps/custom.xml><?xml version="1.0" encoding="utf-8"?>
<Properties xmlns="http://schemas.openxmlformats.org/officeDocument/2006/custom-properties" xmlns:vt="http://schemas.openxmlformats.org/officeDocument/2006/docPropsVTypes"/>
</file>