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B744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Protocolo </w:t>
      </w:r>
      <w:r w:rsidRPr="00E92066">
        <w:rPr>
          <w:rFonts w:ascii="Calibri" w:hAnsi="Calibri" w:cs="Arial"/>
          <w:b/>
          <w:highlight w:val="lightGray"/>
          <w:lang w:val="es-MX"/>
        </w:rPr>
        <w:t>Insertar código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 </w:t>
      </w:r>
    </w:p>
    <w:p w14:paraId="400E77FB" w14:textId="77777777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Pr="00E92066">
        <w:rPr>
          <w:rFonts w:ascii="Calibri" w:hAnsi="Calibri" w:cs="Arial"/>
          <w:b/>
          <w:highlight w:val="lightGray"/>
          <w:lang w:val="es-MX"/>
        </w:rPr>
        <w:t>Insertar patología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</w:t>
      </w:r>
    </w:p>
    <w:p w14:paraId="061DAE94" w14:textId="77777777" w:rsidR="000E4F4B" w:rsidRPr="00E92066" w:rsidRDefault="000E4F4B" w:rsidP="000E4F4B">
      <w:pPr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Inclusión</w:t>
      </w:r>
    </w:p>
    <w:p w14:paraId="3BBF27C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&gt;18 con SMD o LMA (proporción de blastos en la médula ósea ≤50%) con trombocitopenia causada por la enfermedad o tratamiento previo (Excluye trombocitopenia transitoria).</w:t>
      </w:r>
    </w:p>
    <w:p w14:paraId="2F66BA9E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Trombocitopenia grado 4 plaquetas &lt;25 Gi/L. Al menos 1 evento de los siguientes eventos durante las 4 semanas de selección: transfusión plaquetaria, o sangrado sintomático o recuento plaquetario &lt;10Gi/L (fiebre, infección, enfermedad autoinmune).</w:t>
      </w:r>
    </w:p>
    <w:p w14:paraId="1311FC6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Debe tener información de recuentos plaquetarios, sangrado y eventos de transfusión dentro de un periodo de al menos 4 semanas previas a la asignación a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>.</w:t>
      </w:r>
    </w:p>
    <w:p w14:paraId="340C5CA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Descontinuar cualquier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 xml:space="preserve"> sistémico previo para malignidad (excepto de </w:t>
      </w:r>
      <w:proofErr w:type="spellStart"/>
      <w:r w:rsidRPr="00E92066">
        <w:rPr>
          <w:rFonts w:cs="Arial"/>
          <w:lang w:val="es-MX"/>
        </w:rPr>
        <w:t>hidroxiurea</w:t>
      </w:r>
      <w:proofErr w:type="spellEnd"/>
      <w:r w:rsidRPr="00E92066">
        <w:rPr>
          <w:rFonts w:cs="Arial"/>
          <w:lang w:val="es-MX"/>
        </w:rPr>
        <w:t>):</w:t>
      </w:r>
    </w:p>
    <w:p w14:paraId="594A26DD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Mínimo 4 semanas antes del </w:t>
      </w:r>
      <w:proofErr w:type="spellStart"/>
      <w:r w:rsidRPr="00E92066">
        <w:rPr>
          <w:rFonts w:cs="Arial"/>
          <w:lang w:val="es-MX"/>
        </w:rPr>
        <w:t>dia</w:t>
      </w:r>
      <w:proofErr w:type="spellEnd"/>
      <w:r w:rsidRPr="00E92066">
        <w:rPr>
          <w:rFonts w:cs="Arial"/>
          <w:lang w:val="es-MX"/>
        </w:rPr>
        <w:t xml:space="preserve"> 1: quimioterapia, agentes </w:t>
      </w:r>
      <w:proofErr w:type="spellStart"/>
      <w:r w:rsidRPr="00E92066">
        <w:rPr>
          <w:rFonts w:cs="Arial"/>
          <w:lang w:val="es-MX"/>
        </w:rPr>
        <w:t>de-metilantes</w:t>
      </w:r>
      <w:proofErr w:type="spellEnd"/>
      <w:r w:rsidRPr="00E92066">
        <w:rPr>
          <w:rFonts w:cs="Arial"/>
          <w:lang w:val="es-MX"/>
        </w:rPr>
        <w:t xml:space="preserve">, </w:t>
      </w:r>
      <w:proofErr w:type="spellStart"/>
      <w:r w:rsidRPr="00E92066">
        <w:rPr>
          <w:rFonts w:cs="Arial"/>
          <w:lang w:val="es-MX"/>
        </w:rPr>
        <w:t>lenalidomida</w:t>
      </w:r>
      <w:proofErr w:type="spellEnd"/>
      <w:r w:rsidRPr="00E92066">
        <w:rPr>
          <w:rFonts w:cs="Arial"/>
          <w:lang w:val="es-MX"/>
        </w:rPr>
        <w:t xml:space="preserve">, talidomida, </w:t>
      </w:r>
      <w:proofErr w:type="spellStart"/>
      <w:r w:rsidRPr="00E92066">
        <w:rPr>
          <w:rFonts w:cs="Arial"/>
          <w:lang w:val="es-MX"/>
        </w:rPr>
        <w:t>clofarabina</w:t>
      </w:r>
      <w:proofErr w:type="spellEnd"/>
      <w:r w:rsidRPr="00E92066">
        <w:rPr>
          <w:rFonts w:cs="Arial"/>
          <w:lang w:val="es-MX"/>
        </w:rPr>
        <w:t xml:space="preserve"> e IL-11.</w:t>
      </w:r>
    </w:p>
    <w:p w14:paraId="0CC1C3BB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Mínimo 8 semanas antes del día 1: globulina </w:t>
      </w:r>
      <w:proofErr w:type="spellStart"/>
      <w:r w:rsidRPr="00E92066">
        <w:rPr>
          <w:rFonts w:cs="Arial"/>
          <w:lang w:val="es-MX"/>
        </w:rPr>
        <w:t>anti-timocito</w:t>
      </w:r>
      <w:proofErr w:type="spellEnd"/>
      <w:r w:rsidRPr="00E92066">
        <w:rPr>
          <w:rFonts w:cs="Arial"/>
          <w:lang w:val="es-MX"/>
        </w:rPr>
        <w:t>/</w:t>
      </w:r>
      <w:proofErr w:type="spellStart"/>
      <w:r w:rsidRPr="00E92066">
        <w:rPr>
          <w:rFonts w:cs="Arial"/>
          <w:lang w:val="es-MX"/>
        </w:rPr>
        <w:t>anti-linfocito</w:t>
      </w:r>
      <w:proofErr w:type="spellEnd"/>
      <w:r w:rsidRPr="00E92066">
        <w:rPr>
          <w:rFonts w:cs="Arial"/>
          <w:lang w:val="es-MX"/>
        </w:rPr>
        <w:t>.</w:t>
      </w:r>
    </w:p>
    <w:p w14:paraId="007E8F71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SCT previo con recurrencia posterior.</w:t>
      </w:r>
    </w:p>
    <w:p w14:paraId="12517F8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Enfermedad estable, capaces de completar un período de 12 semanas de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>.</w:t>
      </w:r>
    </w:p>
    <w:p w14:paraId="5B9513B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Estatus ECOG 0-2.</w:t>
      </w:r>
    </w:p>
    <w:p w14:paraId="01230E8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Función adecuada de órganos: </w:t>
      </w:r>
    </w:p>
    <w:p w14:paraId="38F0BFCF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Bilirrubina total ≤1.5xULN </w:t>
      </w:r>
    </w:p>
    <w:p w14:paraId="06FB4A9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ALT ≤3xULN </w:t>
      </w:r>
    </w:p>
    <w:p w14:paraId="7169080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Creatinina ≤2.5 </w:t>
      </w:r>
      <w:proofErr w:type="spellStart"/>
      <w:r w:rsidRPr="00E92066">
        <w:rPr>
          <w:rFonts w:cs="Arial"/>
          <w:lang w:val="es-MX"/>
        </w:rPr>
        <w:t>xULN</w:t>
      </w:r>
      <w:proofErr w:type="spellEnd"/>
    </w:p>
    <w:p w14:paraId="6565BC79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Mujeres estériles o mujeres/hombres con métodos anticonceptivos.</w:t>
      </w:r>
    </w:p>
    <w:p w14:paraId="0AFC5630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</w:p>
    <w:p w14:paraId="0D8315F4" w14:textId="77777777" w:rsidR="000E4F4B" w:rsidRPr="00E92066" w:rsidRDefault="003E74BC" w:rsidP="000E4F4B">
      <w:pPr>
        <w:pStyle w:val="Piedepgina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349BB430" wp14:editId="545C750C">
            <wp:simplePos x="0" y="0"/>
            <wp:positionH relativeFrom="column">
              <wp:posOffset>276225</wp:posOffset>
            </wp:positionH>
            <wp:positionV relativeFrom="paragraph">
              <wp:posOffset>-5080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F30D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  <w:r w:rsidRPr="00E92066">
        <w:rPr>
          <w:rFonts w:cs="Arial"/>
          <w:sz w:val="24"/>
          <w:szCs w:val="24"/>
          <w:lang w:val="es-MX"/>
        </w:rPr>
        <w:t xml:space="preserve">                       </w:t>
      </w:r>
    </w:p>
    <w:p w14:paraId="5B922984" w14:textId="77777777" w:rsidR="000E4F4B" w:rsidRPr="00E92066" w:rsidRDefault="000E4F4B" w:rsidP="000E4F4B">
      <w:pPr>
        <w:jc w:val="center"/>
        <w:rPr>
          <w:rFonts w:ascii="Calibri" w:hAnsi="Calibri" w:cs="Arial"/>
          <w:b/>
          <w:sz w:val="28"/>
          <w:szCs w:val="28"/>
        </w:rPr>
      </w:pPr>
    </w:p>
    <w:p w14:paraId="114F8718" w14:textId="77777777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commentRangeStart w:id="0"/>
      <w:r w:rsidR="003D3A12" w:rsidRPr="003D3A12">
        <w:rPr>
          <w:rFonts w:ascii="Calibri" w:hAnsi="Calibri" w:cs="Arial"/>
          <w:b/>
          <w:sz w:val="28"/>
          <w:szCs w:val="28"/>
          <w:highlight w:val="yellow"/>
        </w:rPr>
        <w:t>Seleccionar</w:t>
      </w:r>
      <w:commentRangeEnd w:id="0"/>
      <w:r w:rsidR="00A77DCC">
        <w:rPr>
          <w:rStyle w:val="Refdecomentario"/>
          <w:rFonts w:ascii="Calibri" w:eastAsia="Calibri" w:hAnsi="Calibri"/>
          <w:lang w:val="en-US" w:eastAsia="en-US"/>
        </w:rPr>
        <w:commentReference w:id="0"/>
      </w:r>
    </w:p>
    <w:p w14:paraId="32FE6AE7" w14:textId="77777777" w:rsidR="000E4F4B" w:rsidRPr="00E92066" w:rsidRDefault="000E4F4B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="003D3A12" w:rsidRPr="003D3A12">
        <w:rPr>
          <w:rFonts w:ascii="Calibri" w:hAnsi="Calibri" w:cs="Arial"/>
          <w:b/>
          <w:sz w:val="28"/>
          <w:szCs w:val="28"/>
          <w:highlight w:val="yellow"/>
        </w:rPr>
        <w:t>Automático</w:t>
      </w:r>
    </w:p>
    <w:p w14:paraId="6557E8D2" w14:textId="77777777" w:rsidR="000E4F4B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788BB65F" w14:textId="77777777" w:rsidR="009C7388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22E064E8" w14:textId="77777777" w:rsidR="009C7388" w:rsidRPr="00E92066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158BDEA4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31E9028F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5313FEA4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Protocolo </w:t>
      </w:r>
      <w:r w:rsidRPr="00E92066">
        <w:rPr>
          <w:rFonts w:ascii="Calibri" w:hAnsi="Calibri" w:cs="Arial"/>
          <w:b/>
          <w:highlight w:val="lightGray"/>
          <w:lang w:val="es-MX"/>
        </w:rPr>
        <w:t>Insertar código</w:t>
      </w:r>
      <w:r w:rsidRPr="00E92066">
        <w:rPr>
          <w:rFonts w:ascii="Calibri" w:hAnsi="Calibri" w:cs="Arial"/>
          <w:b/>
          <w:lang w:val="es-MX"/>
        </w:rPr>
        <w:tab/>
      </w:r>
    </w:p>
    <w:p w14:paraId="411CB97D" w14:textId="77777777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Pr="00E92066">
        <w:rPr>
          <w:rFonts w:ascii="Calibri" w:hAnsi="Calibri" w:cs="Arial"/>
          <w:b/>
          <w:highlight w:val="lightGray"/>
          <w:lang w:val="es-MX"/>
        </w:rPr>
        <w:t>Insertar patología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</w:t>
      </w:r>
    </w:p>
    <w:p w14:paraId="0604B712" w14:textId="77777777" w:rsidR="000E4F4B" w:rsidRPr="00E92066" w:rsidRDefault="000E4F4B" w:rsidP="000E4F4B">
      <w:pPr>
        <w:tabs>
          <w:tab w:val="left" w:pos="3686"/>
        </w:tabs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Exclusión</w:t>
      </w:r>
    </w:p>
    <w:p w14:paraId="7DEFEC0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SMD y riesgo bajo o intermedio (IPSS).</w:t>
      </w:r>
    </w:p>
    <w:p w14:paraId="783EB51C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proofErr w:type="spellStart"/>
      <w:r w:rsidRPr="00E92066">
        <w:rPr>
          <w:rFonts w:cs="Arial"/>
          <w:lang w:val="es-MX"/>
        </w:rPr>
        <w:t>Dx</w:t>
      </w:r>
      <w:proofErr w:type="spellEnd"/>
      <w:r w:rsidRPr="00E92066">
        <w:rPr>
          <w:rFonts w:cs="Arial"/>
          <w:lang w:val="es-MX"/>
        </w:rPr>
        <w:t xml:space="preserve"> de leucemia </w:t>
      </w:r>
      <w:proofErr w:type="spellStart"/>
      <w:r w:rsidRPr="00E92066">
        <w:rPr>
          <w:rFonts w:cs="Arial"/>
          <w:lang w:val="es-MX"/>
        </w:rPr>
        <w:t>promielocítica</w:t>
      </w:r>
      <w:proofErr w:type="spellEnd"/>
      <w:r w:rsidRPr="00E92066">
        <w:rPr>
          <w:rFonts w:cs="Arial"/>
          <w:lang w:val="es-MX"/>
        </w:rPr>
        <w:t xml:space="preserve"> aguda o leucemia </w:t>
      </w:r>
      <w:proofErr w:type="spellStart"/>
      <w:r w:rsidRPr="00E92066">
        <w:rPr>
          <w:rFonts w:cs="Arial"/>
          <w:lang w:val="es-MX"/>
        </w:rPr>
        <w:t>megacarioblástica</w:t>
      </w:r>
      <w:proofErr w:type="spellEnd"/>
      <w:r w:rsidRPr="00E92066">
        <w:rPr>
          <w:rFonts w:cs="Arial"/>
          <w:lang w:val="es-MX"/>
        </w:rPr>
        <w:t xml:space="preserve"> o LMA secundaria a neoplasia mieloproliferativa.</w:t>
      </w:r>
    </w:p>
    <w:p w14:paraId="18B6FB0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Historia de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 xml:space="preserve"> con </w:t>
      </w:r>
      <w:proofErr w:type="spellStart"/>
      <w:r w:rsidRPr="00E92066">
        <w:rPr>
          <w:rFonts w:cs="Arial"/>
          <w:lang w:val="es-MX"/>
        </w:rPr>
        <w:t>romiplostim</w:t>
      </w:r>
      <w:proofErr w:type="spellEnd"/>
      <w:r w:rsidRPr="00E92066">
        <w:rPr>
          <w:rFonts w:cs="Arial"/>
          <w:lang w:val="es-MX"/>
        </w:rPr>
        <w:t xml:space="preserve"> u otros agonistas TPO-R.</w:t>
      </w:r>
    </w:p>
    <w:p w14:paraId="3EC8AE6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QTc&gt;480 </w:t>
      </w:r>
      <w:proofErr w:type="spellStart"/>
      <w:r w:rsidRPr="00E92066">
        <w:rPr>
          <w:rFonts w:cs="Arial"/>
          <w:lang w:val="es-MX"/>
        </w:rPr>
        <w:t>mseg</w:t>
      </w:r>
      <w:proofErr w:type="spellEnd"/>
      <w:r w:rsidRPr="00E92066">
        <w:rPr>
          <w:rFonts w:cs="Arial"/>
          <w:lang w:val="es-MX"/>
        </w:rPr>
        <w:t xml:space="preserve"> </w:t>
      </w:r>
      <w:proofErr w:type="spellStart"/>
      <w:r w:rsidRPr="00E92066">
        <w:rPr>
          <w:rFonts w:cs="Arial"/>
          <w:lang w:val="es-MX"/>
        </w:rPr>
        <w:t>ó</w:t>
      </w:r>
      <w:proofErr w:type="spellEnd"/>
      <w:r w:rsidRPr="00E92066">
        <w:rPr>
          <w:rFonts w:cs="Arial"/>
          <w:lang w:val="es-MX"/>
        </w:rPr>
        <w:t xml:space="preserve"> QTc&gt;510 con Bloqueo de Rama de Haz de </w:t>
      </w:r>
      <w:proofErr w:type="spellStart"/>
      <w:r w:rsidRPr="00E92066">
        <w:rPr>
          <w:rFonts w:cs="Arial"/>
          <w:lang w:val="es-MX"/>
        </w:rPr>
        <w:t>His</w:t>
      </w:r>
      <w:proofErr w:type="spellEnd"/>
      <w:r w:rsidRPr="00E92066">
        <w:rPr>
          <w:rFonts w:cs="Arial"/>
          <w:lang w:val="es-MX"/>
        </w:rPr>
        <w:t>.</w:t>
      </w:r>
    </w:p>
    <w:p w14:paraId="33D893F8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bazo palpable con diámetro ≤16 cm.</w:t>
      </w:r>
    </w:p>
    <w:p w14:paraId="16B15B0D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proofErr w:type="spellStart"/>
      <w:r w:rsidRPr="00E92066">
        <w:rPr>
          <w:rFonts w:cs="Arial"/>
          <w:lang w:val="es-MX"/>
        </w:rPr>
        <w:t>Leucositosis</w:t>
      </w:r>
      <w:proofErr w:type="spellEnd"/>
      <w:r w:rsidRPr="00E92066">
        <w:rPr>
          <w:rFonts w:cs="Arial"/>
          <w:lang w:val="es-MX"/>
        </w:rPr>
        <w:t xml:space="preserve"> ≥25,000/</w:t>
      </w:r>
      <w:proofErr w:type="spellStart"/>
      <w:r w:rsidRPr="00E92066">
        <w:rPr>
          <w:rFonts w:cs="Arial"/>
          <w:lang w:val="es-MX"/>
        </w:rPr>
        <w:t>uL</w:t>
      </w:r>
      <w:proofErr w:type="spellEnd"/>
      <w:r w:rsidRPr="00E92066">
        <w:rPr>
          <w:rFonts w:cs="Arial"/>
          <w:lang w:val="es-MX"/>
        </w:rPr>
        <w:t xml:space="preserve"> en el día 1 de </w:t>
      </w: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>.</w:t>
      </w:r>
    </w:p>
    <w:p w14:paraId="2CFEBFEA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Riesgo trombótico.</w:t>
      </w:r>
    </w:p>
    <w:p w14:paraId="441544B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Embarazo o lactancia. </w:t>
      </w:r>
    </w:p>
    <w:p w14:paraId="7EF99F4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Abuso de drogas o alcohol.</w:t>
      </w:r>
    </w:p>
    <w:p w14:paraId="49606A9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proofErr w:type="spellStart"/>
      <w:r w:rsidRPr="00E92066">
        <w:rPr>
          <w:rFonts w:cs="Arial"/>
          <w:lang w:val="es-MX"/>
        </w:rPr>
        <w:t>Tx</w:t>
      </w:r>
      <w:proofErr w:type="spellEnd"/>
      <w:r w:rsidRPr="00E92066">
        <w:rPr>
          <w:rFonts w:cs="Arial"/>
          <w:lang w:val="es-MX"/>
        </w:rPr>
        <w:t xml:space="preserve"> con fármacos en investigación dentro de 30 días o 5 vidas medias precedentes.</w:t>
      </w:r>
    </w:p>
    <w:p w14:paraId="12E6102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Infecciones activas y no controladas.</w:t>
      </w:r>
    </w:p>
    <w:p w14:paraId="1F0768B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Hepatitis B y C o VIH.</w:t>
      </w:r>
    </w:p>
    <w:p w14:paraId="7A48EA33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Cirrosis hepática</w:t>
      </w:r>
    </w:p>
    <w:p w14:paraId="5A4DAFCB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Ingesta de medicamentos prohibidos por el protocolo.</w:t>
      </w:r>
    </w:p>
    <w:p w14:paraId="715DF5F4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Hipersensibilidad al </w:t>
      </w:r>
      <w:proofErr w:type="spellStart"/>
      <w:r w:rsidRPr="00E92066">
        <w:rPr>
          <w:rFonts w:cs="Arial"/>
          <w:lang w:val="es-MX"/>
        </w:rPr>
        <w:t>eltrombopag</w:t>
      </w:r>
      <w:proofErr w:type="spellEnd"/>
      <w:r w:rsidRPr="00E92066">
        <w:rPr>
          <w:rFonts w:cs="Arial"/>
          <w:lang w:val="es-MX"/>
        </w:rPr>
        <w:t xml:space="preserve"> o al excipiente.</w:t>
      </w:r>
    </w:p>
    <w:p w14:paraId="3CB19178" w14:textId="77777777" w:rsidR="000E4F4B" w:rsidRPr="00E92066" w:rsidRDefault="000E4F4B" w:rsidP="000E4F4B">
      <w:pPr>
        <w:pStyle w:val="Sinespaciado"/>
        <w:tabs>
          <w:tab w:val="left" w:pos="3686"/>
        </w:tabs>
        <w:rPr>
          <w:rFonts w:cs="Arial"/>
          <w:lang w:val="es-MX"/>
        </w:rPr>
      </w:pPr>
    </w:p>
    <w:p w14:paraId="03267DF1" w14:textId="77777777" w:rsidR="000E4F4B" w:rsidRPr="00E92066" w:rsidRDefault="003E74BC" w:rsidP="000E4F4B">
      <w:pPr>
        <w:pStyle w:val="Piedepgina"/>
        <w:tabs>
          <w:tab w:val="clear" w:pos="4419"/>
          <w:tab w:val="center" w:pos="3686"/>
        </w:tabs>
        <w:ind w:left="709"/>
        <w:jc w:val="center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A031E81" wp14:editId="64B63033">
            <wp:simplePos x="0" y="0"/>
            <wp:positionH relativeFrom="column">
              <wp:posOffset>294005</wp:posOffset>
            </wp:positionH>
            <wp:positionV relativeFrom="paragraph">
              <wp:posOffset>68580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A35C1" w14:textId="77777777" w:rsidR="000E4F4B" w:rsidRPr="00E92066" w:rsidRDefault="000E4F4B" w:rsidP="000E4F4B">
      <w:pPr>
        <w:pStyle w:val="Piedepgina"/>
        <w:tabs>
          <w:tab w:val="clear" w:pos="4419"/>
          <w:tab w:val="center" w:pos="3686"/>
        </w:tabs>
        <w:ind w:left="709"/>
        <w:jc w:val="both"/>
        <w:rPr>
          <w:rFonts w:ascii="Calibri" w:hAnsi="Calibri" w:cs="Arial"/>
          <w:lang w:val="es-MX"/>
        </w:rPr>
      </w:pPr>
    </w:p>
    <w:p w14:paraId="60AD1796" w14:textId="77777777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6B6ECA9A" w14:textId="77777777" w:rsidR="00C03424" w:rsidRDefault="00C03424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145F727B" w14:textId="77777777" w:rsid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r w:rsidRPr="003D3A12">
        <w:rPr>
          <w:rFonts w:ascii="Calibri" w:hAnsi="Calibri" w:cs="Arial"/>
          <w:b/>
          <w:sz w:val="28"/>
          <w:szCs w:val="28"/>
          <w:highlight w:val="yellow"/>
        </w:rPr>
        <w:t>Seleccionar</w:t>
      </w:r>
    </w:p>
    <w:p w14:paraId="2CB787F7" w14:textId="77777777" w:rsidR="000E4F4B" w:rsidRP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Pr="003D3A12">
        <w:rPr>
          <w:rFonts w:ascii="Calibri" w:hAnsi="Calibri" w:cs="Arial"/>
          <w:b/>
          <w:sz w:val="28"/>
          <w:szCs w:val="28"/>
          <w:highlight w:val="yellow"/>
        </w:rPr>
        <w:t>Automático</w:t>
      </w:r>
    </w:p>
    <w:p w14:paraId="17E7D9D0" w14:textId="77777777" w:rsidR="00EC1216" w:rsidRPr="000E4F4B" w:rsidRDefault="00EC1216" w:rsidP="000E4F4B"/>
    <w:sectPr w:rsidR="00EC1216" w:rsidRPr="000E4F4B" w:rsidSect="000E4F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567" w:right="1701" w:bottom="1418" w:left="1701" w:header="709" w:footer="709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21:58:00Z" w:initials="MV">
    <w:p w14:paraId="33244E86" w14:textId="77777777" w:rsidR="00A77DCC" w:rsidRDefault="00A77DCC" w:rsidP="00A77DCC">
      <w:pPr>
        <w:pStyle w:val="Textocomentario"/>
      </w:pPr>
      <w:r>
        <w:rPr>
          <w:rStyle w:val="Refdecomentario"/>
        </w:rPr>
        <w:annotationRef/>
      </w:r>
      <w:proofErr w:type="spellStart"/>
      <w:r>
        <w:t>Seleccionar</w:t>
      </w:r>
      <w:proofErr w:type="spellEnd"/>
      <w:r>
        <w:t>:</w:t>
      </w:r>
    </w:p>
    <w:p w14:paraId="12E53B4E" w14:textId="77777777" w:rsidR="00A77DCC" w:rsidRDefault="00A77DCC" w:rsidP="00A77DCC">
      <w:pPr>
        <w:pStyle w:val="Textocomentario"/>
        <w:rPr>
          <w:rFonts w:cs="Arial"/>
          <w:b/>
          <w:sz w:val="72"/>
          <w:szCs w:val="72"/>
        </w:rPr>
      </w:pPr>
      <w:r w:rsidRPr="00AC2B35">
        <w:rPr>
          <w:rFonts w:cs="Arial"/>
          <w:b/>
          <w:sz w:val="72"/>
          <w:szCs w:val="72"/>
        </w:rPr>
        <w:t>437 2837</w:t>
      </w:r>
      <w:r>
        <w:rPr>
          <w:rFonts w:cs="Arial"/>
          <w:b/>
          <w:sz w:val="72"/>
          <w:szCs w:val="72"/>
        </w:rPr>
        <w:t xml:space="preserve"> y 614 129 4020 ó </w:t>
      </w:r>
    </w:p>
    <w:p w14:paraId="7F20E3E4" w14:textId="77777777" w:rsidR="00A77DCC" w:rsidRDefault="00A77DCC">
      <w:pPr>
        <w:pStyle w:val="Textocomentario"/>
      </w:pPr>
      <w:r>
        <w:rPr>
          <w:rFonts w:cs="Arial"/>
          <w:b/>
          <w:sz w:val="56"/>
          <w:szCs w:val="56"/>
        </w:rPr>
        <w:t>55 1451 1757</w:t>
      </w:r>
      <w:r w:rsidRPr="002C44E9">
        <w:rPr>
          <w:rFonts w:cs="Arial"/>
          <w:b/>
          <w:sz w:val="56"/>
          <w:szCs w:val="56"/>
        </w:rPr>
        <w:t xml:space="preserve"> y 55 </w:t>
      </w:r>
      <w:r>
        <w:rPr>
          <w:rFonts w:cs="Arial"/>
          <w:b/>
          <w:sz w:val="56"/>
          <w:szCs w:val="56"/>
        </w:rPr>
        <w:t>2127 1039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20E3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6E" w16cex:dateUtc="2018-04-21T0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0E3E4" w16cid:durableId="25997E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6541" w14:textId="77777777" w:rsidR="008F4238" w:rsidRDefault="008F4238">
      <w:r>
        <w:separator/>
      </w:r>
    </w:p>
  </w:endnote>
  <w:endnote w:type="continuationSeparator" w:id="0">
    <w:p w14:paraId="7940F631" w14:textId="77777777" w:rsidR="008F4238" w:rsidRDefault="008F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506A" w14:textId="77777777" w:rsidR="00096223" w:rsidRDefault="000962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4BCC" w14:textId="5D11C07D" w:rsidR="00440A61" w:rsidRPr="00527865" w:rsidRDefault="000E4F4B" w:rsidP="0052786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0633E3">
      <w:rPr>
        <w:rFonts w:ascii="Calibri" w:hAnsi="Calibri"/>
        <w:sz w:val="20"/>
        <w:szCs w:val="20"/>
        <w:lang w:val="es-MX"/>
      </w:rPr>
      <w:t>4</w:t>
    </w:r>
    <w:r w:rsidR="006A3198">
      <w:rPr>
        <w:rFonts w:ascii="Calibri" w:hAnsi="Calibri"/>
        <w:sz w:val="20"/>
        <w:szCs w:val="20"/>
        <w:lang w:val="es-MX"/>
      </w:rPr>
      <w:t>4</w:t>
    </w:r>
    <w:r w:rsidR="000633E3">
      <w:rPr>
        <w:rFonts w:ascii="Calibri" w:hAnsi="Calibri"/>
        <w:sz w:val="20"/>
        <w:szCs w:val="20"/>
        <w:lang w:val="es-MX"/>
      </w:rPr>
      <w:t>01</w:t>
    </w:r>
    <w:r>
      <w:rPr>
        <w:rFonts w:ascii="Calibri" w:hAnsi="Calibri"/>
        <w:sz w:val="20"/>
        <w:szCs w:val="20"/>
        <w:lang w:val="es-MX"/>
      </w:rPr>
      <w:t xml:space="preserve"> Tarjeta de bolsillo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096223">
      <w:rPr>
        <w:rFonts w:ascii="Calibri" w:hAnsi="Calibri"/>
        <w:sz w:val="20"/>
        <w:szCs w:val="20"/>
        <w:lang w:val="es-MX"/>
      </w:rPr>
      <w:t>v</w:t>
    </w:r>
    <w:r w:rsidR="00D00E84">
      <w:rPr>
        <w:rStyle w:val="Nmerodepgina"/>
        <w:rFonts w:ascii="Calibri" w:hAnsi="Calibri"/>
        <w:sz w:val="20"/>
        <w:szCs w:val="20"/>
      </w:rPr>
      <w:t>0</w:t>
    </w:r>
    <w:r w:rsidR="00D00E84">
      <w:rPr>
        <w:rStyle w:val="Nmerodepgina"/>
        <w:rFonts w:ascii="Calibri" w:hAnsi="Calibri"/>
        <w:sz w:val="20"/>
      </w:rPr>
      <w:t>1-</w:t>
    </w:r>
    <w:r w:rsidR="00096223">
      <w:rPr>
        <w:rStyle w:val="Nmerodepgina"/>
        <w:rFonts w:ascii="Calibri" w:hAnsi="Calibri"/>
        <w:sz w:val="20"/>
        <w:lang w:val="es-MX"/>
      </w:rPr>
      <w:t>feb</w:t>
    </w:r>
    <w:r w:rsidR="00D00E84">
      <w:rPr>
        <w:rStyle w:val="Nmerodepgina"/>
        <w:rFonts w:ascii="Calibri" w:hAnsi="Calibri"/>
        <w:sz w:val="20"/>
      </w:rPr>
      <w:t>-202</w:t>
    </w:r>
    <w:r w:rsidR="00096223">
      <w:rPr>
        <w:rStyle w:val="Nmerodepgina"/>
        <w:rFonts w:ascii="Calibri" w:hAnsi="Calibri"/>
        <w:sz w:val="20"/>
        <w:lang w:val="es-MX"/>
      </w:rPr>
      <w:t>2</w:t>
    </w:r>
    <w:r w:rsidR="00D51B4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00E84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B743D9">
      <w:rPr>
        <w:rStyle w:val="Nmerodepgina"/>
        <w:rFonts w:ascii="Calibri" w:hAnsi="Calibri"/>
        <w:sz w:val="20"/>
        <w:szCs w:val="20"/>
        <w:lang w:val="es-MX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00E84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2058" w14:textId="77777777" w:rsidR="00096223" w:rsidRDefault="000962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9FAB" w14:textId="77777777" w:rsidR="008F4238" w:rsidRDefault="008F4238">
      <w:r>
        <w:separator/>
      </w:r>
    </w:p>
  </w:footnote>
  <w:footnote w:type="continuationSeparator" w:id="0">
    <w:p w14:paraId="138C9E38" w14:textId="77777777" w:rsidR="008F4238" w:rsidRDefault="008F4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1E81" w14:textId="77777777" w:rsidR="00096223" w:rsidRDefault="000962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3C37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832D" w14:textId="77777777" w:rsidR="00096223" w:rsidRDefault="000962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A1A"/>
    <w:multiLevelType w:val="hybridMultilevel"/>
    <w:tmpl w:val="E49CEDD2"/>
    <w:lvl w:ilvl="0" w:tplc="9224F9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D76608"/>
    <w:multiLevelType w:val="hybridMultilevel"/>
    <w:tmpl w:val="FE245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24E43"/>
    <w:multiLevelType w:val="hybridMultilevel"/>
    <w:tmpl w:val="587E4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56C83"/>
    <w:multiLevelType w:val="hybridMultilevel"/>
    <w:tmpl w:val="792048A8"/>
    <w:lvl w:ilvl="0" w:tplc="CF9C4B00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25" w:hanging="360"/>
      </w:pPr>
    </w:lvl>
    <w:lvl w:ilvl="2" w:tplc="080A001B" w:tentative="1">
      <w:start w:val="1"/>
      <w:numFmt w:val="lowerRoman"/>
      <w:lvlText w:val="%3."/>
      <w:lvlJc w:val="right"/>
      <w:pPr>
        <w:ind w:left="2245" w:hanging="180"/>
      </w:pPr>
    </w:lvl>
    <w:lvl w:ilvl="3" w:tplc="080A000F" w:tentative="1">
      <w:start w:val="1"/>
      <w:numFmt w:val="decimal"/>
      <w:lvlText w:val="%4."/>
      <w:lvlJc w:val="left"/>
      <w:pPr>
        <w:ind w:left="2965" w:hanging="360"/>
      </w:pPr>
    </w:lvl>
    <w:lvl w:ilvl="4" w:tplc="080A0019" w:tentative="1">
      <w:start w:val="1"/>
      <w:numFmt w:val="lowerLetter"/>
      <w:lvlText w:val="%5."/>
      <w:lvlJc w:val="left"/>
      <w:pPr>
        <w:ind w:left="3685" w:hanging="360"/>
      </w:pPr>
    </w:lvl>
    <w:lvl w:ilvl="5" w:tplc="080A001B" w:tentative="1">
      <w:start w:val="1"/>
      <w:numFmt w:val="lowerRoman"/>
      <w:lvlText w:val="%6."/>
      <w:lvlJc w:val="right"/>
      <w:pPr>
        <w:ind w:left="4405" w:hanging="180"/>
      </w:pPr>
    </w:lvl>
    <w:lvl w:ilvl="6" w:tplc="080A000F" w:tentative="1">
      <w:start w:val="1"/>
      <w:numFmt w:val="decimal"/>
      <w:lvlText w:val="%7."/>
      <w:lvlJc w:val="left"/>
      <w:pPr>
        <w:ind w:left="5125" w:hanging="360"/>
      </w:pPr>
    </w:lvl>
    <w:lvl w:ilvl="7" w:tplc="080A0019" w:tentative="1">
      <w:start w:val="1"/>
      <w:numFmt w:val="lowerLetter"/>
      <w:lvlText w:val="%8."/>
      <w:lvlJc w:val="left"/>
      <w:pPr>
        <w:ind w:left="5845" w:hanging="360"/>
      </w:pPr>
    </w:lvl>
    <w:lvl w:ilvl="8" w:tplc="080A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8" w15:restartNumberingAfterBreak="0">
    <w:nsid w:val="77AE16F4"/>
    <w:multiLevelType w:val="hybridMultilevel"/>
    <w:tmpl w:val="BCC8F1B8"/>
    <w:lvl w:ilvl="0" w:tplc="CD64F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21D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446"/>
    <w:rsid w:val="00063211"/>
    <w:rsid w:val="000633E3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6223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6941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4F4B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9D6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B01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257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86F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3E3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E8"/>
    <w:rsid w:val="002B6DFE"/>
    <w:rsid w:val="002B7737"/>
    <w:rsid w:val="002C055C"/>
    <w:rsid w:val="002C30AF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732C"/>
    <w:rsid w:val="00350B7B"/>
    <w:rsid w:val="0035223B"/>
    <w:rsid w:val="0036016F"/>
    <w:rsid w:val="00360492"/>
    <w:rsid w:val="00360AFE"/>
    <w:rsid w:val="003623E6"/>
    <w:rsid w:val="00362DB4"/>
    <w:rsid w:val="00364354"/>
    <w:rsid w:val="0036557A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C9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8A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A12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4BC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4DA3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4E52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CE3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86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47F26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39B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1792C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4DEA"/>
    <w:rsid w:val="00665005"/>
    <w:rsid w:val="006675D7"/>
    <w:rsid w:val="006701CB"/>
    <w:rsid w:val="006719B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3198"/>
    <w:rsid w:val="006A4D39"/>
    <w:rsid w:val="006A621B"/>
    <w:rsid w:val="006B1D02"/>
    <w:rsid w:val="006B3270"/>
    <w:rsid w:val="006B37A6"/>
    <w:rsid w:val="006B514C"/>
    <w:rsid w:val="006B59CA"/>
    <w:rsid w:val="006B6733"/>
    <w:rsid w:val="006B688E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5A8B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1662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578"/>
    <w:rsid w:val="0077089D"/>
    <w:rsid w:val="00773007"/>
    <w:rsid w:val="00774596"/>
    <w:rsid w:val="007745E0"/>
    <w:rsid w:val="007749FE"/>
    <w:rsid w:val="007775CD"/>
    <w:rsid w:val="007777B5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D44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626"/>
    <w:rsid w:val="007D2E5F"/>
    <w:rsid w:val="007E1C9E"/>
    <w:rsid w:val="007E4C1F"/>
    <w:rsid w:val="007E63E4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85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27A"/>
    <w:rsid w:val="008F18D3"/>
    <w:rsid w:val="008F2692"/>
    <w:rsid w:val="008F2B54"/>
    <w:rsid w:val="008F3742"/>
    <w:rsid w:val="008F4238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521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86A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388"/>
    <w:rsid w:val="009D02CD"/>
    <w:rsid w:val="009D0CD9"/>
    <w:rsid w:val="009D12BA"/>
    <w:rsid w:val="009D20C1"/>
    <w:rsid w:val="009D2597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1220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F00"/>
    <w:rsid w:val="00A415D3"/>
    <w:rsid w:val="00A416DF"/>
    <w:rsid w:val="00A444D9"/>
    <w:rsid w:val="00A45621"/>
    <w:rsid w:val="00A523A2"/>
    <w:rsid w:val="00A53652"/>
    <w:rsid w:val="00A5436B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0DB"/>
    <w:rsid w:val="00A72B49"/>
    <w:rsid w:val="00A73671"/>
    <w:rsid w:val="00A74833"/>
    <w:rsid w:val="00A77202"/>
    <w:rsid w:val="00A7744B"/>
    <w:rsid w:val="00A777C2"/>
    <w:rsid w:val="00A77DCC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8F1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3424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33D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0E84"/>
    <w:rsid w:val="00D02C98"/>
    <w:rsid w:val="00D02D69"/>
    <w:rsid w:val="00D03F0B"/>
    <w:rsid w:val="00D04A51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564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1B4B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2174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066"/>
    <w:rsid w:val="00E92C3C"/>
    <w:rsid w:val="00E93D7C"/>
    <w:rsid w:val="00E96826"/>
    <w:rsid w:val="00EA0E68"/>
    <w:rsid w:val="00EA2240"/>
    <w:rsid w:val="00EA22FF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15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E6E51"/>
    <w:rsid w:val="00FF0973"/>
    <w:rsid w:val="00FF1594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640ED"/>
  <w15:docId w15:val="{948F3610-F785-4C29-9E1A-9436956C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0E4F4B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6F77-91EA-4B07-8799-0404FBE5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2014-08-07T19:59:00Z</cp:lastPrinted>
  <dcterms:created xsi:type="dcterms:W3CDTF">2022-01-25T02:37:00Z</dcterms:created>
  <dcterms:modified xsi:type="dcterms:W3CDTF">2022-01-25T02:37:00Z</dcterms:modified>
</cp:coreProperties>
</file>