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7B744" w14:textId="7090A32B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Protocolo </w:t>
      </w:r>
      <w:r w:rsidR="006150CF">
        <w:rPr>
          <w:rFonts w:ascii="Calibri" w:hAnsi="Calibri" w:cs="Arial"/>
          <w:b/>
          <w:lang w:val="es-MX"/>
        </w:rPr>
        <w:t>Prueba1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 </w:t>
      </w:r>
    </w:p>
    <w:p w14:paraId="400E77FB" w14:textId="75B0430A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="006150CF">
        <w:rPr>
          <w:rFonts w:ascii="Calibri" w:hAnsi="Calibri" w:cs="Arial"/>
          <w:b/>
          <w:lang w:val="es-MX"/>
        </w:rPr>
        <w:t>Patologia1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</w:t>
      </w:r>
    </w:p>
    <w:p w14:paraId="061DAE94" w14:textId="77777777" w:rsidR="000E4F4B" w:rsidRPr="00E92066" w:rsidRDefault="000E4F4B" w:rsidP="000E4F4B">
      <w:pPr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Inclusión</w:t>
      </w:r>
    </w:p>
    <w:p w14:paraId="3BBF27C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&gt;18 con SMD o LMA (proporción de blastos en la médula ósea ≤50%) con trombocitopenia causada por la enfermedad o tratamiento previo (Excluye trombocitopenia transitoria).</w:t>
      </w:r>
    </w:p>
    <w:p w14:paraId="2F66BA9E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Trombocitopenia grado 4 plaquetas &lt;25 Gi/L. Al menos 1 evento de los siguientes eventos durante las 4 semanas de selección: transfusión plaquetaria, o sangrado sintomático o recuento plaquetario &lt;10Gi/L (fiebre, infección, enfermedad autoinmune).</w:t>
      </w:r>
    </w:p>
    <w:p w14:paraId="1311FC6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Debe tener información de recuentos plaquetarios, sangrado y eventos de transfusión dentro de un periodo de al menos 4 semanas previas a la asignación a Tx.</w:t>
      </w:r>
    </w:p>
    <w:p w14:paraId="340C5CA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Descontinuar cualquier Tx sistémico previo para malignidad (excepto de hidroxiurea):</w:t>
      </w:r>
    </w:p>
    <w:p w14:paraId="594A26DD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4 semanas antes del dia 1: quimioterapia, agentes de-metilantes, lenalidomida, talidomida, clofarabina e IL-11.</w:t>
      </w:r>
    </w:p>
    <w:p w14:paraId="0CC1C3BB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8 semanas antes del día 1: globulina anti-timocito/anti-linfocito.</w:t>
      </w:r>
    </w:p>
    <w:p w14:paraId="007E8F71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SCT previo con recurrencia posterior.</w:t>
      </w:r>
    </w:p>
    <w:p w14:paraId="12517F8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Enfermedad estable, capaces de completar un período de 12 semanas de Tx.</w:t>
      </w:r>
    </w:p>
    <w:p w14:paraId="5B9513B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Estatus ECOG 0-2.</w:t>
      </w:r>
    </w:p>
    <w:p w14:paraId="01230E8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Función adecuada de órganos: </w:t>
      </w:r>
    </w:p>
    <w:p w14:paraId="38F0BFCF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Bilirrubina total ≤1.5xULN </w:t>
      </w:r>
    </w:p>
    <w:p w14:paraId="06FB4A9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ALT ≤3xULN </w:t>
      </w:r>
    </w:p>
    <w:p w14:paraId="7169080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Creatinina ≤2.5 xULN</w:t>
      </w:r>
    </w:p>
    <w:p w14:paraId="6565BC79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Mujeres estériles o mujeres/hombres con métodos anticonceptivos.</w:t>
      </w:r>
    </w:p>
    <w:p w14:paraId="0AFC5630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</w:p>
    <w:p w14:paraId="0D8315F4" w14:textId="77777777" w:rsidR="000E4F4B" w:rsidRPr="00E92066" w:rsidRDefault="003E74BC" w:rsidP="000E4F4B">
      <w:pPr>
        <w:pStyle w:val="Piedepgina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49BB430" wp14:editId="545C750C">
            <wp:simplePos x="0" y="0"/>
            <wp:positionH relativeFrom="column">
              <wp:posOffset>276225</wp:posOffset>
            </wp:positionH>
            <wp:positionV relativeFrom="paragraph">
              <wp:posOffset>-5080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F30D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  <w:r w:rsidRPr="00E92066">
        <w:rPr>
          <w:rFonts w:cs="Arial"/>
          <w:sz w:val="24"/>
          <w:szCs w:val="24"/>
          <w:lang w:val="es-MX"/>
        </w:rPr>
        <w:t xml:space="preserve">                       </w:t>
      </w:r>
    </w:p>
    <w:p w14:paraId="5B922984" w14:textId="77777777" w:rsidR="000E4F4B" w:rsidRPr="00E92066" w:rsidRDefault="000E4F4B" w:rsidP="000E4F4B">
      <w:pPr>
        <w:jc w:val="center"/>
        <w:rPr>
          <w:rFonts w:ascii="Calibri" w:hAnsi="Calibri" w:cs="Arial"/>
          <w:b/>
          <w:sz w:val="28"/>
          <w:szCs w:val="28"/>
        </w:rPr>
      </w:pPr>
    </w:p>
    <w:p w14:paraId="114F8718" w14:textId="27C83166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="006150CF">
        <w:rPr>
          <w:rFonts w:ascii="Calibri" w:hAnsi="Calibri" w:cs="Arial"/>
          <w:b/>
          <w:sz w:val="28"/>
          <w:szCs w:val="28"/>
        </w:rPr>
        <w:t>437 2837</w:t>
      </w:r>
    </w:p>
    <w:p w14:paraId="32FE6AE7" w14:textId="6741F521" w:rsidR="000E4F4B" w:rsidRPr="00E92066" w:rsidRDefault="000E4F4B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6150CF">
        <w:rPr>
          <w:rFonts w:ascii="Calibri" w:hAnsi="Calibri" w:cs="Arial"/>
          <w:b/>
          <w:sz w:val="28"/>
          <w:szCs w:val="28"/>
        </w:rPr>
        <w:t>614 129 4020</w:t>
      </w:r>
    </w:p>
    <w:p w14:paraId="6557E8D2" w14:textId="77777777" w:rsidR="000E4F4B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788BB65F" w14:textId="77777777" w:rsidR="009C7388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22E064E8" w14:textId="77777777" w:rsidR="009C7388" w:rsidRPr="00E92066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158BD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31E9028F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5313FEA4" w14:textId="15ADD83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lastRenderedPageBreak/>
        <w:t xml:space="preserve">Protocolo </w:t>
      </w:r>
      <w:r w:rsidR="006150CF">
        <w:rPr>
          <w:rFonts w:ascii="Calibri" w:hAnsi="Calibri" w:cs="Arial"/>
          <w:b/>
          <w:lang w:val="es-MX"/>
        </w:rPr>
        <w:t>Prueba1</w:t>
      </w:r>
      <w:r w:rsidRPr="00E92066">
        <w:rPr>
          <w:rFonts w:ascii="Calibri" w:hAnsi="Calibri" w:cs="Arial"/>
          <w:b/>
          <w:lang w:val="es-MX"/>
        </w:rPr>
        <w:tab/>
      </w:r>
    </w:p>
    <w:p w14:paraId="411CB97D" w14:textId="461D438E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="006150CF">
        <w:rPr>
          <w:rFonts w:ascii="Calibri" w:hAnsi="Calibri" w:cs="Arial"/>
          <w:b/>
          <w:lang w:val="es-MX"/>
        </w:rPr>
        <w:t>Patologia1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</w:t>
      </w:r>
    </w:p>
    <w:p w14:paraId="0604B712" w14:textId="77777777" w:rsidR="000E4F4B" w:rsidRPr="00E92066" w:rsidRDefault="000E4F4B" w:rsidP="000E4F4B">
      <w:pPr>
        <w:tabs>
          <w:tab w:val="left" w:pos="3686"/>
        </w:tabs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Exclusión</w:t>
      </w:r>
    </w:p>
    <w:p w14:paraId="7DEFEC0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SMD y riesgo bajo o intermedio (IPSS).</w:t>
      </w:r>
    </w:p>
    <w:p w14:paraId="783EB51C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Dx de leucemia promielocítica aguda o leucemia megacarioblástica o LMA secundaria a neoplasia mieloproliferativa.</w:t>
      </w:r>
    </w:p>
    <w:p w14:paraId="18B6FB0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Historia de Tx con romiplostim u otros agonistas TPO-R.</w:t>
      </w:r>
    </w:p>
    <w:p w14:paraId="3EC8AE6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QTc&gt;480 mseg ó QTc&gt;510 con Bloqueo de Rama de Haz de His.</w:t>
      </w:r>
    </w:p>
    <w:p w14:paraId="33D893F8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bazo palpable con diámetro ≤16 cm.</w:t>
      </w:r>
    </w:p>
    <w:p w14:paraId="16B15B0D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Leucositosis ≥25,000/uL en el día 1 de Tx.</w:t>
      </w:r>
    </w:p>
    <w:p w14:paraId="2CFEBFEA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Riesgo trombótico.</w:t>
      </w:r>
    </w:p>
    <w:p w14:paraId="441544B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Embarazo o lactancia. </w:t>
      </w:r>
    </w:p>
    <w:p w14:paraId="7EF99F4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Abuso de drogas o alcohol.</w:t>
      </w:r>
    </w:p>
    <w:p w14:paraId="49606A9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Tx con fármacos en investigación dentro de 30 días o 5 vidas medias precedentes.</w:t>
      </w:r>
    </w:p>
    <w:p w14:paraId="12E6102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Infecciones activas y no controladas.</w:t>
      </w:r>
    </w:p>
    <w:p w14:paraId="1F0768B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Hepatitis B y C o VIH.</w:t>
      </w:r>
    </w:p>
    <w:p w14:paraId="7A48EA33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Cirrosis hepática</w:t>
      </w:r>
    </w:p>
    <w:p w14:paraId="5A4DAFCB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Ingesta de medicamentos prohibidos por el protocolo.</w:t>
      </w:r>
    </w:p>
    <w:p w14:paraId="715DF5F4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Hipersensibilidad al eltrombopag o al excipiente.</w:t>
      </w:r>
    </w:p>
    <w:p w14:paraId="3CB19178" w14:textId="77777777" w:rsidR="000E4F4B" w:rsidRPr="00E92066" w:rsidRDefault="000E4F4B" w:rsidP="000E4F4B">
      <w:pPr>
        <w:pStyle w:val="Sinespaciado"/>
        <w:tabs>
          <w:tab w:val="left" w:pos="3686"/>
        </w:tabs>
        <w:rPr>
          <w:rFonts w:cs="Arial"/>
          <w:lang w:val="es-MX"/>
        </w:rPr>
      </w:pPr>
    </w:p>
    <w:p w14:paraId="03267DF1" w14:textId="77777777" w:rsidR="000E4F4B" w:rsidRPr="00E92066" w:rsidRDefault="003E74BC" w:rsidP="000E4F4B">
      <w:pPr>
        <w:pStyle w:val="Piedepgina"/>
        <w:tabs>
          <w:tab w:val="clear" w:pos="4419"/>
          <w:tab w:val="center" w:pos="3686"/>
        </w:tabs>
        <w:ind w:left="709"/>
        <w:jc w:val="center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A031E81" wp14:editId="64B63033">
            <wp:simplePos x="0" y="0"/>
            <wp:positionH relativeFrom="column">
              <wp:posOffset>294005</wp:posOffset>
            </wp:positionH>
            <wp:positionV relativeFrom="paragraph">
              <wp:posOffset>68580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A35C1" w14:textId="77777777" w:rsidR="000E4F4B" w:rsidRPr="00E92066" w:rsidRDefault="000E4F4B" w:rsidP="000E4F4B">
      <w:pPr>
        <w:pStyle w:val="Piedepgina"/>
        <w:tabs>
          <w:tab w:val="clear" w:pos="4419"/>
          <w:tab w:val="center" w:pos="3686"/>
        </w:tabs>
        <w:ind w:left="709"/>
        <w:jc w:val="both"/>
        <w:rPr>
          <w:rFonts w:ascii="Calibri" w:hAnsi="Calibri" w:cs="Arial"/>
          <w:lang w:val="es-MX"/>
        </w:rPr>
      </w:pPr>
    </w:p>
    <w:p w14:paraId="60AD1796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6B6ECA9A" w14:textId="77777777" w:rsidR="00C03424" w:rsidRDefault="00C03424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45F727B" w14:textId="7E3E1B3E" w:rsid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="006150CF">
        <w:rPr>
          <w:rFonts w:ascii="Calibri" w:hAnsi="Calibri" w:cs="Arial"/>
          <w:b/>
          <w:sz w:val="28"/>
          <w:szCs w:val="28"/>
        </w:rPr>
        <w:t>437 2837</w:t>
      </w:r>
    </w:p>
    <w:p w14:paraId="2CB787F7" w14:textId="0FD31213" w:rsidR="000E4F4B" w:rsidRP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6150CF">
        <w:rPr>
          <w:rFonts w:ascii="Calibri" w:hAnsi="Calibri" w:cs="Arial"/>
          <w:b/>
          <w:sz w:val="28"/>
          <w:szCs w:val="28"/>
        </w:rPr>
        <w:t>614 129 4020</w:t>
      </w:r>
    </w:p>
    <w:p w14:paraId="17E7D9D0" w14:textId="77777777" w:rsidR="00EC1216" w:rsidRPr="000E4F4B" w:rsidRDefault="00EC1216" w:rsidP="000E4F4B"/>
    <w:sectPr w:rsidR="00EC1216" w:rsidRPr="000E4F4B" w:rsidSect="000E4F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701" w:bottom="1418" w:left="1701" w:header="709" w:footer="709" w:gutter="0"/>
      <w:cols w:num="2"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6E" w16cex:dateUtc="2018-04-21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0E3E4" w16cid:durableId="25997E6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FB53F" w14:textId="77777777" w:rsidR="00880BE9" w:rsidRDefault="00880BE9">
      <w:r>
        <w:separator/>
      </w:r>
    </w:p>
  </w:endnote>
  <w:endnote w:type="continuationSeparator" w:id="0">
    <w:p w14:paraId="50E3A196" w14:textId="77777777" w:rsidR="00880BE9" w:rsidRDefault="0088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4506A" w14:textId="77777777" w:rsidR="00096223" w:rsidRDefault="000962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4BCC" w14:textId="3560CD17" w:rsidR="00440A61" w:rsidRPr="00527865" w:rsidRDefault="000E4F4B" w:rsidP="0052786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0633E3">
      <w:rPr>
        <w:rFonts w:ascii="Calibri" w:hAnsi="Calibri"/>
        <w:sz w:val="20"/>
        <w:szCs w:val="20"/>
        <w:lang w:val="es-MX"/>
      </w:rPr>
      <w:t>4</w:t>
    </w:r>
    <w:r w:rsidR="006A3198">
      <w:rPr>
        <w:rFonts w:ascii="Calibri" w:hAnsi="Calibri"/>
        <w:sz w:val="20"/>
        <w:szCs w:val="20"/>
        <w:lang w:val="es-MX"/>
      </w:rPr>
      <w:t>4</w:t>
    </w:r>
    <w:r w:rsidR="000633E3">
      <w:rPr>
        <w:rFonts w:ascii="Calibri" w:hAnsi="Calibri"/>
        <w:sz w:val="20"/>
        <w:szCs w:val="20"/>
        <w:lang w:val="es-MX"/>
      </w:rPr>
      <w:t>01</w:t>
    </w:r>
    <w:r>
      <w:rPr>
        <w:rFonts w:ascii="Calibri" w:hAnsi="Calibri"/>
        <w:sz w:val="20"/>
        <w:szCs w:val="20"/>
        <w:lang w:val="es-MX"/>
      </w:rPr>
      <w:t xml:space="preserve"> Tarjeta de bolsillo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096223">
      <w:rPr>
        <w:rFonts w:ascii="Calibri" w:hAnsi="Calibri"/>
        <w:sz w:val="20"/>
        <w:szCs w:val="20"/>
        <w:lang w:val="es-MX"/>
      </w:rPr>
      <w:t>v</w:t>
    </w:r>
    <w:r w:rsidR="00D00E84">
      <w:rPr>
        <w:rStyle w:val="Nmerodepgina"/>
        <w:rFonts w:ascii="Calibri" w:hAnsi="Calibri"/>
        <w:sz w:val="20"/>
        <w:szCs w:val="20"/>
      </w:rPr>
      <w:t>0</w:t>
    </w:r>
    <w:r w:rsidR="00D00E84">
      <w:rPr>
        <w:rStyle w:val="Nmerodepgina"/>
        <w:rFonts w:ascii="Calibri" w:hAnsi="Calibri"/>
        <w:sz w:val="20"/>
      </w:rPr>
      <w:t>1-</w:t>
    </w:r>
    <w:r w:rsidR="00096223">
      <w:rPr>
        <w:rStyle w:val="Nmerodepgina"/>
        <w:rFonts w:ascii="Calibri" w:hAnsi="Calibri"/>
        <w:sz w:val="20"/>
        <w:lang w:val="es-MX"/>
      </w:rPr>
      <w:t>feb</w:t>
    </w:r>
    <w:r w:rsidR="00D00E84">
      <w:rPr>
        <w:rStyle w:val="Nmerodepgina"/>
        <w:rFonts w:ascii="Calibri" w:hAnsi="Calibri"/>
        <w:sz w:val="20"/>
      </w:rPr>
      <w:t>-202</w:t>
    </w:r>
    <w:r w:rsidR="00096223">
      <w:rPr>
        <w:rStyle w:val="Nmerodepgina"/>
        <w:rFonts w:ascii="Calibri" w:hAnsi="Calibri"/>
        <w:sz w:val="20"/>
        <w:lang w:val="es-MX"/>
      </w:rPr>
      <w:t>2</w:t>
    </w:r>
    <w:r w:rsidR="00D51B4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150CF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B743D9">
      <w:rPr>
        <w:rStyle w:val="Nmerodepgina"/>
        <w:rFonts w:ascii="Calibri" w:hAnsi="Calibri"/>
        <w:sz w:val="20"/>
        <w:szCs w:val="20"/>
        <w:lang w:val="es-MX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150CF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E2058" w14:textId="77777777" w:rsidR="00096223" w:rsidRDefault="000962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7CA9F" w14:textId="77777777" w:rsidR="00880BE9" w:rsidRDefault="00880BE9">
      <w:r>
        <w:separator/>
      </w:r>
    </w:p>
  </w:footnote>
  <w:footnote w:type="continuationSeparator" w:id="0">
    <w:p w14:paraId="6DEBDA1C" w14:textId="77777777" w:rsidR="00880BE9" w:rsidRDefault="00880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91E81" w14:textId="77777777" w:rsidR="00096223" w:rsidRDefault="00096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3C37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0832D" w14:textId="77777777" w:rsidR="00096223" w:rsidRDefault="00096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A1A"/>
    <w:multiLevelType w:val="hybridMultilevel"/>
    <w:tmpl w:val="E49CEDD2"/>
    <w:lvl w:ilvl="0" w:tplc="9224F9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76608"/>
    <w:multiLevelType w:val="hybridMultilevel"/>
    <w:tmpl w:val="FE245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24E43"/>
    <w:multiLevelType w:val="hybridMultilevel"/>
    <w:tmpl w:val="587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C83"/>
    <w:multiLevelType w:val="hybridMultilevel"/>
    <w:tmpl w:val="792048A8"/>
    <w:lvl w:ilvl="0" w:tplc="CF9C4B00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25" w:hanging="360"/>
      </w:pPr>
    </w:lvl>
    <w:lvl w:ilvl="2" w:tplc="080A001B" w:tentative="1">
      <w:start w:val="1"/>
      <w:numFmt w:val="lowerRoman"/>
      <w:lvlText w:val="%3."/>
      <w:lvlJc w:val="right"/>
      <w:pPr>
        <w:ind w:left="2245" w:hanging="180"/>
      </w:pPr>
    </w:lvl>
    <w:lvl w:ilvl="3" w:tplc="080A000F" w:tentative="1">
      <w:start w:val="1"/>
      <w:numFmt w:val="decimal"/>
      <w:lvlText w:val="%4."/>
      <w:lvlJc w:val="left"/>
      <w:pPr>
        <w:ind w:left="2965" w:hanging="360"/>
      </w:pPr>
    </w:lvl>
    <w:lvl w:ilvl="4" w:tplc="080A0019" w:tentative="1">
      <w:start w:val="1"/>
      <w:numFmt w:val="lowerLetter"/>
      <w:lvlText w:val="%5."/>
      <w:lvlJc w:val="left"/>
      <w:pPr>
        <w:ind w:left="3685" w:hanging="360"/>
      </w:pPr>
    </w:lvl>
    <w:lvl w:ilvl="5" w:tplc="080A001B" w:tentative="1">
      <w:start w:val="1"/>
      <w:numFmt w:val="lowerRoman"/>
      <w:lvlText w:val="%6."/>
      <w:lvlJc w:val="right"/>
      <w:pPr>
        <w:ind w:left="4405" w:hanging="180"/>
      </w:pPr>
    </w:lvl>
    <w:lvl w:ilvl="6" w:tplc="080A000F" w:tentative="1">
      <w:start w:val="1"/>
      <w:numFmt w:val="decimal"/>
      <w:lvlText w:val="%7."/>
      <w:lvlJc w:val="left"/>
      <w:pPr>
        <w:ind w:left="5125" w:hanging="360"/>
      </w:pPr>
    </w:lvl>
    <w:lvl w:ilvl="7" w:tplc="080A0019" w:tentative="1">
      <w:start w:val="1"/>
      <w:numFmt w:val="lowerLetter"/>
      <w:lvlText w:val="%8."/>
      <w:lvlJc w:val="left"/>
      <w:pPr>
        <w:ind w:left="5845" w:hanging="360"/>
      </w:pPr>
    </w:lvl>
    <w:lvl w:ilvl="8" w:tplc="080A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8" w15:restartNumberingAfterBreak="0">
    <w:nsid w:val="77AE16F4"/>
    <w:multiLevelType w:val="hybridMultilevel"/>
    <w:tmpl w:val="BCC8F1B8"/>
    <w:lvl w:ilvl="0" w:tplc="CD64F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21D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446"/>
    <w:rsid w:val="00063211"/>
    <w:rsid w:val="000633E3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6223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94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4F4B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9D6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B01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257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86F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3E3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E8"/>
    <w:rsid w:val="002B6DFE"/>
    <w:rsid w:val="002B7737"/>
    <w:rsid w:val="002C055C"/>
    <w:rsid w:val="002C30AF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32C"/>
    <w:rsid w:val="00350B7B"/>
    <w:rsid w:val="0035223B"/>
    <w:rsid w:val="0036016F"/>
    <w:rsid w:val="00360492"/>
    <w:rsid w:val="00360AFE"/>
    <w:rsid w:val="003623E6"/>
    <w:rsid w:val="00362DB4"/>
    <w:rsid w:val="00364354"/>
    <w:rsid w:val="0036557A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C9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8A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A12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4BC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4DA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4E52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CE3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86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47F26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39B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50CF"/>
    <w:rsid w:val="00617782"/>
    <w:rsid w:val="0061792C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4DEA"/>
    <w:rsid w:val="00665005"/>
    <w:rsid w:val="006675D7"/>
    <w:rsid w:val="006701CB"/>
    <w:rsid w:val="006719B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3198"/>
    <w:rsid w:val="006A4D39"/>
    <w:rsid w:val="006A621B"/>
    <w:rsid w:val="006B1D02"/>
    <w:rsid w:val="006B3270"/>
    <w:rsid w:val="006B37A6"/>
    <w:rsid w:val="006B514C"/>
    <w:rsid w:val="006B59CA"/>
    <w:rsid w:val="006B6733"/>
    <w:rsid w:val="006B688E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5A8B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1662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578"/>
    <w:rsid w:val="0077089D"/>
    <w:rsid w:val="00773007"/>
    <w:rsid w:val="00774596"/>
    <w:rsid w:val="007745E0"/>
    <w:rsid w:val="007749FE"/>
    <w:rsid w:val="007775CD"/>
    <w:rsid w:val="007777B5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D44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626"/>
    <w:rsid w:val="007D2E5F"/>
    <w:rsid w:val="007E1C9E"/>
    <w:rsid w:val="007E4C1F"/>
    <w:rsid w:val="007E63E4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85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BE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27A"/>
    <w:rsid w:val="008F18D3"/>
    <w:rsid w:val="008F2692"/>
    <w:rsid w:val="008F2B54"/>
    <w:rsid w:val="008F3742"/>
    <w:rsid w:val="008F4238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521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86A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388"/>
    <w:rsid w:val="009D02CD"/>
    <w:rsid w:val="009D0CD9"/>
    <w:rsid w:val="009D12BA"/>
    <w:rsid w:val="009D20C1"/>
    <w:rsid w:val="009D2597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220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F00"/>
    <w:rsid w:val="00A415D3"/>
    <w:rsid w:val="00A416DF"/>
    <w:rsid w:val="00A444D9"/>
    <w:rsid w:val="00A45621"/>
    <w:rsid w:val="00A523A2"/>
    <w:rsid w:val="00A53652"/>
    <w:rsid w:val="00A5436B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0DB"/>
    <w:rsid w:val="00A72B49"/>
    <w:rsid w:val="00A73671"/>
    <w:rsid w:val="00A74833"/>
    <w:rsid w:val="00A77202"/>
    <w:rsid w:val="00A7744B"/>
    <w:rsid w:val="00A777C2"/>
    <w:rsid w:val="00A77DCC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8F1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3424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33D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E84"/>
    <w:rsid w:val="00D02C98"/>
    <w:rsid w:val="00D02D69"/>
    <w:rsid w:val="00D03F0B"/>
    <w:rsid w:val="00D04A51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564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B4B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174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066"/>
    <w:rsid w:val="00E92C3C"/>
    <w:rsid w:val="00E93D7C"/>
    <w:rsid w:val="00E96826"/>
    <w:rsid w:val="00EA0E68"/>
    <w:rsid w:val="00EA2240"/>
    <w:rsid w:val="00EA22FF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15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E6E51"/>
    <w:rsid w:val="00FF0973"/>
    <w:rsid w:val="00FF1594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F640ED"/>
  <w15:docId w15:val="{948F3610-F785-4C29-9E1A-9436956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0E4F4B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43FF5-B419-4CDC-A206-69E93E24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2022-01-25T02:37:00Z</dcterms:created>
  <dcterms:modified xsi:type="dcterms:W3CDTF">2022-03-24T20:41:00Z</dcterms:modified>
</cp:coreProperties>
</file>